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D5" w:rsidRDefault="00682CE5" w:rsidP="00CB2161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d</w:t>
      </w:r>
      <w:r w:rsidR="0062617F" w:rsidRPr="00FC33E6">
        <w:rPr>
          <w:rFonts w:ascii="Times New Roman" w:eastAsiaTheme="minorEastAsia" w:hAnsi="Times New Roman" w:cs="Times New Roman"/>
          <w:kern w:val="24"/>
          <w:sz w:val="24"/>
          <w:szCs w:val="24"/>
        </w:rPr>
        <w:t>r. Rado Bohinc</w:t>
      </w:r>
    </w:p>
    <w:p w:rsidR="00546407" w:rsidRPr="00FC33E6" w:rsidRDefault="00546407" w:rsidP="00CB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6CC" w:rsidRPr="0062617F" w:rsidRDefault="0062617F" w:rsidP="00CB21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40"/>
          <w:szCs w:val="40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40"/>
          <w:szCs w:val="40"/>
        </w:rPr>
        <w:t>Korporativna družbena odgovornost v deklaracijah in praksi</w:t>
      </w:r>
    </w:p>
    <w:p w:rsidR="0062617F" w:rsidRDefault="003A756D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i/>
          <w:kern w:val="24"/>
        </w:rPr>
      </w:pPr>
      <w:r w:rsidRPr="0062617F">
        <w:rPr>
          <w:rFonts w:eastAsiaTheme="minorEastAsia"/>
          <w:bCs/>
          <w:i/>
          <w:kern w:val="24"/>
          <w:sz w:val="28"/>
          <w:szCs w:val="28"/>
        </w:rPr>
        <w:t>Družbena odgovornost</w:t>
      </w:r>
      <w:r w:rsidR="00B94DDB" w:rsidRPr="0062617F">
        <w:rPr>
          <w:rFonts w:eastAsiaTheme="minorEastAsia"/>
          <w:bCs/>
          <w:i/>
          <w:kern w:val="24"/>
          <w:sz w:val="28"/>
          <w:szCs w:val="28"/>
        </w:rPr>
        <w:t xml:space="preserve"> podjetij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 je koncept, po katerem naj bi podjetja v svojo poslovno politiko poleg osnovn</w:t>
      </w:r>
      <w:r w:rsidR="0093054D">
        <w:rPr>
          <w:rFonts w:eastAsiaTheme="minorEastAsia"/>
          <w:i/>
          <w:kern w:val="24"/>
          <w:sz w:val="28"/>
          <w:szCs w:val="28"/>
        </w:rPr>
        <w:t>e skrbi za pridobivanje dobička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 uvrstila tudi skrb za vse, s katerimi </w:t>
      </w:r>
      <w:r w:rsidR="0093054D" w:rsidRPr="0062617F">
        <w:rPr>
          <w:rFonts w:eastAsiaTheme="minorEastAsia"/>
          <w:i/>
          <w:kern w:val="24"/>
          <w:sz w:val="28"/>
          <w:szCs w:val="28"/>
        </w:rPr>
        <w:t xml:space="preserve">prihajajo v stik </w:t>
      </w:r>
      <w:r w:rsidR="003963D5" w:rsidRPr="0062617F">
        <w:rPr>
          <w:rFonts w:eastAsiaTheme="minorEastAsia"/>
          <w:i/>
          <w:kern w:val="24"/>
          <w:sz w:val="28"/>
          <w:szCs w:val="28"/>
        </w:rPr>
        <w:t>pri svoj</w:t>
      </w:r>
      <w:r w:rsidRPr="0062617F">
        <w:rPr>
          <w:rFonts w:eastAsiaTheme="minorEastAsia"/>
          <w:i/>
          <w:kern w:val="24"/>
          <w:sz w:val="28"/>
          <w:szCs w:val="28"/>
        </w:rPr>
        <w:t>em poslovanju. Družbena odgovornost do</w:t>
      </w:r>
      <w:r w:rsidRPr="0062617F">
        <w:rPr>
          <w:rFonts w:eastAsiaTheme="minorEastAsia"/>
          <w:bCs/>
          <w:i/>
          <w:kern w:val="24"/>
          <w:sz w:val="28"/>
          <w:szCs w:val="28"/>
        </w:rPr>
        <w:t xml:space="preserve"> zaposlenih je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 zagotavljanje njihovega primernega ter varnega</w:t>
      </w:r>
      <w:r w:rsidRPr="0062617F">
        <w:rPr>
          <w:rFonts w:eastAsiaTheme="minorEastAsia"/>
          <w:i/>
          <w:kern w:val="24"/>
          <w:sz w:val="28"/>
          <w:szCs w:val="28"/>
        </w:rPr>
        <w:t xml:space="preserve"> delovnega okolja in 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spoštovanje mednarodnih in domačih standardov s področja </w:t>
      </w:r>
      <w:r w:rsidR="003963D5" w:rsidRPr="0062617F">
        <w:rPr>
          <w:rFonts w:eastAsiaTheme="minorEastAsia"/>
          <w:bCs/>
          <w:i/>
          <w:kern w:val="24"/>
          <w:sz w:val="28"/>
          <w:szCs w:val="28"/>
        </w:rPr>
        <w:t>dela in človekovih pravic</w:t>
      </w:r>
      <w:r w:rsidR="00FF55F0">
        <w:rPr>
          <w:rFonts w:eastAsiaTheme="minorEastAsia"/>
          <w:i/>
          <w:kern w:val="24"/>
          <w:sz w:val="28"/>
          <w:szCs w:val="28"/>
        </w:rPr>
        <w:t>.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 </w:t>
      </w:r>
      <w:r w:rsidRPr="0062617F">
        <w:rPr>
          <w:rFonts w:eastAsiaTheme="minorEastAsia"/>
          <w:bCs/>
          <w:i/>
          <w:kern w:val="24"/>
          <w:sz w:val="28"/>
          <w:szCs w:val="28"/>
        </w:rPr>
        <w:t xml:space="preserve">Družbena odgovornost </w:t>
      </w:r>
      <w:r w:rsidR="005F6F86">
        <w:rPr>
          <w:rFonts w:eastAsiaTheme="minorEastAsia"/>
          <w:bCs/>
          <w:i/>
          <w:kern w:val="24"/>
          <w:sz w:val="28"/>
          <w:szCs w:val="28"/>
        </w:rPr>
        <w:t xml:space="preserve">je 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pošten odnos do </w:t>
      </w:r>
      <w:r w:rsidR="003963D5" w:rsidRPr="0062617F">
        <w:rPr>
          <w:rFonts w:eastAsiaTheme="minorEastAsia"/>
          <w:bCs/>
          <w:i/>
          <w:kern w:val="24"/>
          <w:sz w:val="28"/>
          <w:szCs w:val="28"/>
        </w:rPr>
        <w:t>kupcev in dobaviteljev</w:t>
      </w:r>
      <w:r w:rsidRPr="0062617F">
        <w:rPr>
          <w:rFonts w:eastAsiaTheme="minorEastAsia"/>
          <w:i/>
          <w:kern w:val="24"/>
          <w:sz w:val="28"/>
          <w:szCs w:val="28"/>
        </w:rPr>
        <w:t>. Ekološki vidik</w:t>
      </w:r>
      <w:r w:rsidRPr="0062617F">
        <w:rPr>
          <w:rFonts w:eastAsiaTheme="minorEastAsia"/>
          <w:bCs/>
          <w:i/>
          <w:kern w:val="24"/>
          <w:sz w:val="28"/>
          <w:szCs w:val="28"/>
        </w:rPr>
        <w:t xml:space="preserve"> družbene odgovornosti je</w:t>
      </w:r>
      <w:r w:rsidR="001804F1">
        <w:rPr>
          <w:rFonts w:eastAsiaTheme="minorEastAsia"/>
          <w:i/>
          <w:kern w:val="24"/>
          <w:sz w:val="28"/>
          <w:szCs w:val="28"/>
        </w:rPr>
        <w:t xml:space="preserve"> 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skrben odnos </w:t>
      </w:r>
      <w:r w:rsidR="003963D5" w:rsidRPr="0062617F">
        <w:rPr>
          <w:rFonts w:eastAsiaTheme="minorEastAsia"/>
          <w:bCs/>
          <w:i/>
          <w:kern w:val="24"/>
          <w:sz w:val="28"/>
          <w:szCs w:val="28"/>
        </w:rPr>
        <w:t>do narave in okolja</w:t>
      </w:r>
      <w:r w:rsidR="00FF55F0">
        <w:rPr>
          <w:rFonts w:eastAsiaTheme="minorEastAsia"/>
          <w:bCs/>
          <w:i/>
          <w:kern w:val="24"/>
          <w:sz w:val="28"/>
          <w:szCs w:val="28"/>
        </w:rPr>
        <w:t>,</w:t>
      </w:r>
      <w:r w:rsidR="003963D5" w:rsidRPr="0062617F">
        <w:rPr>
          <w:rFonts w:eastAsiaTheme="minorEastAsia"/>
          <w:bCs/>
          <w:i/>
          <w:kern w:val="24"/>
          <w:sz w:val="28"/>
          <w:szCs w:val="28"/>
        </w:rPr>
        <w:t xml:space="preserve"> </w:t>
      </w:r>
      <w:r w:rsidR="003963D5" w:rsidRPr="0062617F">
        <w:rPr>
          <w:rFonts w:eastAsiaTheme="minorEastAsia"/>
          <w:i/>
          <w:kern w:val="24"/>
          <w:sz w:val="28"/>
          <w:szCs w:val="28"/>
        </w:rPr>
        <w:t xml:space="preserve">v katerem delujejo. </w:t>
      </w:r>
    </w:p>
    <w:p w:rsidR="00CB2161" w:rsidRPr="00CB2161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i/>
          <w:kern w:val="24"/>
        </w:rPr>
      </w:pPr>
    </w:p>
    <w:p w:rsidR="004D7BA8" w:rsidRPr="004D7BA8" w:rsidRDefault="004D7BA8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i/>
          <w:kern w:val="24"/>
          <w:sz w:val="4"/>
          <w:szCs w:val="4"/>
        </w:rPr>
      </w:pPr>
    </w:p>
    <w:p w:rsidR="00190E0F" w:rsidRPr="00190E0F" w:rsidRDefault="00190E0F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kern w:val="24"/>
          <w:sz w:val="32"/>
          <w:szCs w:val="32"/>
        </w:rPr>
      </w:pPr>
      <w:r w:rsidRPr="00190E0F">
        <w:rPr>
          <w:rFonts w:eastAsiaTheme="minorEastAsia"/>
          <w:b/>
          <w:kern w:val="24"/>
          <w:sz w:val="32"/>
          <w:szCs w:val="32"/>
        </w:rPr>
        <w:t>Povzetek</w:t>
      </w:r>
    </w:p>
    <w:p w:rsidR="00645C9A" w:rsidRPr="00510C85" w:rsidRDefault="00645C9A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  <w:sz w:val="2"/>
          <w:szCs w:val="2"/>
        </w:rPr>
      </w:pPr>
    </w:p>
    <w:p w:rsidR="00CB2161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BD5AD0" w:rsidRPr="0062617F" w:rsidRDefault="00645C9A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>
        <w:rPr>
          <w:rFonts w:eastAsiaTheme="minorEastAsia"/>
          <w:bCs/>
          <w:kern w:val="24"/>
        </w:rPr>
        <w:t>D</w:t>
      </w:r>
      <w:r w:rsidR="00BD5AD0" w:rsidRPr="0062617F">
        <w:rPr>
          <w:rFonts w:eastAsiaTheme="minorEastAsia"/>
          <w:bCs/>
          <w:kern w:val="24"/>
        </w:rPr>
        <w:t xml:space="preserve">ružbena odgovornost je </w:t>
      </w:r>
      <w:r w:rsidR="00BD5AD0" w:rsidRPr="0062617F">
        <w:rPr>
          <w:rFonts w:eastAsiaTheme="minorEastAsia"/>
          <w:b/>
          <w:bCs/>
          <w:kern w:val="24"/>
        </w:rPr>
        <w:t>pristop</w:t>
      </w:r>
      <w:r w:rsidR="0093054D">
        <w:rPr>
          <w:rFonts w:eastAsiaTheme="minorEastAsia"/>
          <w:b/>
          <w:bCs/>
          <w:kern w:val="24"/>
        </w:rPr>
        <w:t>,</w:t>
      </w:r>
      <w:r w:rsidR="00BD5AD0" w:rsidRPr="0062617F">
        <w:rPr>
          <w:rFonts w:eastAsiaTheme="minorEastAsia"/>
          <w:b/>
          <w:bCs/>
          <w:kern w:val="24"/>
        </w:rPr>
        <w:t xml:space="preserve"> s pomočjo katerega podjetja prostovoljno integrirajo družbene in okoljske zadeve v svoje poslovanje in v svoja razmerja z d</w:t>
      </w:r>
      <w:r w:rsidR="00D01D45">
        <w:rPr>
          <w:rFonts w:eastAsiaTheme="minorEastAsia"/>
          <w:b/>
          <w:bCs/>
          <w:kern w:val="24"/>
        </w:rPr>
        <w:t>é</w:t>
      </w:r>
      <w:r w:rsidR="00BD5AD0" w:rsidRPr="0062617F">
        <w:rPr>
          <w:rFonts w:eastAsiaTheme="minorEastAsia"/>
          <w:b/>
          <w:bCs/>
          <w:kern w:val="24"/>
        </w:rPr>
        <w:t>ležniki</w:t>
      </w:r>
      <w:r w:rsidR="00BD5AD0" w:rsidRPr="0062617F">
        <w:rPr>
          <w:rFonts w:eastAsiaTheme="minorEastAsia"/>
          <w:bCs/>
          <w:kern w:val="24"/>
        </w:rPr>
        <w:t xml:space="preserve"> (Zelena knjiga EU, 2001)</w:t>
      </w:r>
      <w:r w:rsidR="00BD5AD0" w:rsidRPr="0062617F">
        <w:t xml:space="preserve">. </w:t>
      </w:r>
      <w:r w:rsidR="00BD5AD0" w:rsidRPr="0062617F">
        <w:rPr>
          <w:rFonts w:eastAsiaTheme="minorEastAsia"/>
          <w:kern w:val="24"/>
        </w:rPr>
        <w:t xml:space="preserve">Osnovna ideja socialne odgovornosti je </w:t>
      </w:r>
      <w:r w:rsidR="00BD5AD0" w:rsidRPr="0062617F">
        <w:rPr>
          <w:rFonts w:eastAsiaTheme="minorEastAsia"/>
          <w:bCs/>
          <w:kern w:val="24"/>
        </w:rPr>
        <w:t>preseči meje zgolj izpolnjevanja zakonskih zahtev</w:t>
      </w:r>
      <w:r w:rsidR="00BD5AD0" w:rsidRPr="0062617F">
        <w:rPr>
          <w:rFonts w:eastAsiaTheme="minorEastAsia"/>
          <w:kern w:val="24"/>
        </w:rPr>
        <w:t xml:space="preserve"> z večjim vlaganjem v </w:t>
      </w:r>
      <w:r w:rsidR="00BD5AD0" w:rsidRPr="0062617F">
        <w:rPr>
          <w:rFonts w:eastAsiaTheme="minorEastAsia"/>
          <w:bCs/>
          <w:kern w:val="24"/>
        </w:rPr>
        <w:t>človeški kapital, okolje in odnose z vsemi udeleženci</w:t>
      </w:r>
      <w:r w:rsidR="00BD5AD0" w:rsidRPr="0062617F">
        <w:rPr>
          <w:rFonts w:eastAsiaTheme="minorEastAsia"/>
          <w:kern w:val="24"/>
        </w:rPr>
        <w:t xml:space="preserve">. </w:t>
      </w:r>
    </w:p>
    <w:p w:rsidR="00235D78" w:rsidRDefault="006866CC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2617F">
        <w:rPr>
          <w:rFonts w:eastAsiaTheme="minorEastAsia"/>
          <w:kern w:val="24"/>
        </w:rPr>
        <w:t xml:space="preserve">Izvirno </w:t>
      </w:r>
      <w:r w:rsidR="003963D5" w:rsidRPr="0062617F">
        <w:rPr>
          <w:rFonts w:eastAsiaTheme="minorEastAsia"/>
          <w:kern w:val="24"/>
        </w:rPr>
        <w:t xml:space="preserve">naj bi </w:t>
      </w:r>
      <w:r w:rsidRPr="0062617F">
        <w:rPr>
          <w:rFonts w:eastAsiaTheme="minorEastAsia"/>
          <w:kern w:val="24"/>
        </w:rPr>
        <w:t xml:space="preserve">ta načela </w:t>
      </w:r>
      <w:r w:rsidR="003963D5" w:rsidRPr="0062617F">
        <w:rPr>
          <w:rFonts w:eastAsiaTheme="minorEastAsia"/>
          <w:kern w:val="24"/>
        </w:rPr>
        <w:t xml:space="preserve">družbeno odgovorna podjetja uresničevala </w:t>
      </w:r>
      <w:r w:rsidR="003963D5" w:rsidRPr="0062617F">
        <w:rPr>
          <w:rFonts w:eastAsiaTheme="minorEastAsia"/>
          <w:b/>
          <w:bCs/>
          <w:kern w:val="24"/>
        </w:rPr>
        <w:t>prostovoljno</w:t>
      </w:r>
      <w:r w:rsidR="003963D5" w:rsidRPr="0062617F">
        <w:rPr>
          <w:rFonts w:eastAsiaTheme="minorEastAsia"/>
          <w:b/>
          <w:kern w:val="24"/>
        </w:rPr>
        <w:t xml:space="preserve"> in </w:t>
      </w:r>
      <w:r w:rsidR="003963D5" w:rsidRPr="0062617F">
        <w:rPr>
          <w:rFonts w:eastAsiaTheme="minorEastAsia"/>
          <w:b/>
          <w:bCs/>
          <w:kern w:val="24"/>
        </w:rPr>
        <w:t>nad ravnijo</w:t>
      </w:r>
      <w:r w:rsidR="0062617F">
        <w:rPr>
          <w:rFonts w:eastAsiaTheme="minorEastAsia"/>
          <w:bCs/>
          <w:kern w:val="24"/>
        </w:rPr>
        <w:t>, določeno</w:t>
      </w:r>
      <w:r w:rsidR="003963D5" w:rsidRPr="0062617F">
        <w:rPr>
          <w:rFonts w:eastAsiaTheme="minorEastAsia"/>
          <w:bCs/>
          <w:kern w:val="24"/>
        </w:rPr>
        <w:t xml:space="preserve"> z zakonodajo</w:t>
      </w:r>
      <w:r w:rsidR="003963D5" w:rsidRPr="0062617F">
        <w:rPr>
          <w:rFonts w:eastAsiaTheme="minorEastAsia"/>
          <w:kern w:val="24"/>
        </w:rPr>
        <w:t>.</w:t>
      </w:r>
      <w:r w:rsidRPr="0062617F">
        <w:t xml:space="preserve"> </w:t>
      </w:r>
      <w:r w:rsidR="0062617F">
        <w:rPr>
          <w:rFonts w:eastAsiaTheme="minorEastAsia"/>
          <w:bCs/>
          <w:kern w:val="24"/>
        </w:rPr>
        <w:t>Korporacije naj bi ravnale</w:t>
      </w:r>
      <w:r w:rsidRPr="0062617F">
        <w:rPr>
          <w:rFonts w:eastAsiaTheme="minorEastAsia"/>
          <w:bCs/>
          <w:kern w:val="24"/>
        </w:rPr>
        <w:t xml:space="preserve"> družbeno odgovorno</w:t>
      </w:r>
      <w:r w:rsidR="001804F1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>prostovoljno</w:t>
      </w:r>
      <w:r w:rsidR="003963D5" w:rsidRPr="0062617F">
        <w:rPr>
          <w:rFonts w:eastAsiaTheme="minorEastAsia"/>
          <w:bCs/>
          <w:kern w:val="24"/>
        </w:rPr>
        <w:t xml:space="preserve">, vendar se mora izvajati odgovorno, tako da med vsemi udeleženci vzbuja zaupanje. </w:t>
      </w:r>
      <w:r w:rsidRPr="0062617F">
        <w:rPr>
          <w:rFonts w:eastAsiaTheme="minorEastAsia"/>
          <w:kern w:val="24"/>
        </w:rPr>
        <w:t>Sporočilo EU 2011 (</w:t>
      </w:r>
      <w:r w:rsidRPr="0062617F">
        <w:rPr>
          <w:rFonts w:eastAsiaTheme="minorEastAsia"/>
          <w:bCs/>
          <w:kern w:val="24"/>
        </w:rPr>
        <w:t xml:space="preserve">prenovljena strategija) </w:t>
      </w:r>
      <w:r w:rsidRPr="0062617F">
        <w:rPr>
          <w:rFonts w:eastAsiaTheme="minorEastAsia"/>
          <w:kern w:val="24"/>
        </w:rPr>
        <w:t xml:space="preserve">opredeljuje družbeno odgovornost podjetij kot </w:t>
      </w:r>
      <w:r w:rsidRPr="0062617F">
        <w:rPr>
          <w:rFonts w:eastAsiaTheme="minorEastAsia"/>
          <w:b/>
          <w:kern w:val="24"/>
        </w:rPr>
        <w:t>„</w:t>
      </w:r>
      <w:r w:rsidRPr="0062617F">
        <w:rPr>
          <w:rFonts w:eastAsiaTheme="minorEastAsia"/>
          <w:b/>
          <w:bCs/>
          <w:kern w:val="24"/>
        </w:rPr>
        <w:t>odgovornost podjetij za njihove učinke na družbo</w:t>
      </w:r>
      <w:r w:rsidRPr="0062617F">
        <w:rPr>
          <w:rFonts w:eastAsiaTheme="minorEastAsia"/>
          <w:b/>
          <w:kern w:val="24"/>
        </w:rPr>
        <w:t>“</w:t>
      </w:r>
      <w:r w:rsidRPr="0062617F">
        <w:rPr>
          <w:rFonts w:eastAsiaTheme="minorEastAsia"/>
          <w:kern w:val="24"/>
        </w:rPr>
        <w:t xml:space="preserve">. </w:t>
      </w:r>
      <w:r w:rsidR="003A756D" w:rsidRPr="0062617F">
        <w:rPr>
          <w:rFonts w:eastAsiaTheme="minorEastAsia"/>
          <w:kern w:val="24"/>
        </w:rPr>
        <w:t xml:space="preserve">To je pomembna novost in distinkcija do prej povsem prostovoljnega pristopa. 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6866CC" w:rsidRDefault="0062617F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Vendar odgovornost</w:t>
      </w:r>
      <w:r w:rsidR="003A756D" w:rsidRPr="0062617F">
        <w:rPr>
          <w:rFonts w:eastAsiaTheme="minorEastAsia"/>
          <w:kern w:val="24"/>
        </w:rPr>
        <w:t xml:space="preserve"> podjetij za njihove učinke na družbo </w:t>
      </w:r>
      <w:r w:rsidR="003A756D" w:rsidRPr="0062617F">
        <w:rPr>
          <w:rFonts w:eastAsiaTheme="minorEastAsia"/>
          <w:b/>
          <w:kern w:val="24"/>
        </w:rPr>
        <w:t>v korporacijski zakonodaji ni materializirana</w:t>
      </w:r>
      <w:r w:rsidR="003A756D" w:rsidRPr="0062617F">
        <w:rPr>
          <w:rFonts w:eastAsiaTheme="minorEastAsia"/>
          <w:kern w:val="24"/>
        </w:rPr>
        <w:t>. Zelo redki so zakoni o gospodarskih družbah, ki med odgovornosti direktorjev poleg delovanja v dobro družbe uvrščajo tudi odgovornost za zaposlene in za širšo skupnost.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6866CC" w:rsidRPr="0062617F" w:rsidRDefault="00BD5AD0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2617F">
        <w:rPr>
          <w:rFonts w:eastAsiaTheme="minorEastAsia"/>
          <w:kern w:val="24"/>
        </w:rPr>
        <w:t xml:space="preserve">Poročanje o ukrepih in aktivnostih s področja družbene odgovornosti vse pogosteje postaja </w:t>
      </w:r>
      <w:r w:rsidRPr="00FF55F0">
        <w:rPr>
          <w:rFonts w:eastAsiaTheme="minorEastAsia"/>
          <w:b/>
          <w:bCs/>
          <w:kern w:val="24"/>
        </w:rPr>
        <w:t xml:space="preserve">sestavni del poslovnega poročila </w:t>
      </w:r>
      <w:r w:rsidRPr="00FF55F0">
        <w:rPr>
          <w:rFonts w:eastAsiaTheme="minorEastAsia"/>
          <w:b/>
          <w:kern w:val="24"/>
        </w:rPr>
        <w:t>podjetja</w:t>
      </w:r>
      <w:r w:rsidRPr="0062617F">
        <w:rPr>
          <w:rFonts w:eastAsiaTheme="minorEastAsia"/>
          <w:kern w:val="24"/>
        </w:rPr>
        <w:t>.</w:t>
      </w:r>
    </w:p>
    <w:p w:rsidR="00BD5AD0" w:rsidRPr="0062617F" w:rsidRDefault="00BD5AD0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:rsidR="000E31BA" w:rsidRPr="00FF55F0" w:rsidRDefault="0062617F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kern w:val="24"/>
          <w:sz w:val="32"/>
          <w:szCs w:val="32"/>
        </w:rPr>
      </w:pPr>
      <w:r w:rsidRPr="00FF55F0">
        <w:rPr>
          <w:rFonts w:eastAsiaTheme="minorEastAsia"/>
          <w:b/>
          <w:kern w:val="24"/>
          <w:sz w:val="32"/>
          <w:szCs w:val="32"/>
        </w:rPr>
        <w:t>Mednarodna pravna ureditev družbene odgovornosti podjetij</w:t>
      </w:r>
    </w:p>
    <w:p w:rsidR="00CB2161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6866CC" w:rsidRPr="0062617F" w:rsidRDefault="003963D5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  <w:r w:rsidRPr="0062617F">
        <w:rPr>
          <w:rFonts w:eastAsiaTheme="minorEastAsia"/>
          <w:b/>
          <w:bCs/>
          <w:kern w:val="24"/>
        </w:rPr>
        <w:t>Glo</w:t>
      </w:r>
      <w:r w:rsidR="006866CC" w:rsidRPr="0062617F">
        <w:rPr>
          <w:rFonts w:eastAsiaTheme="minorEastAsia"/>
          <w:b/>
          <w:bCs/>
          <w:kern w:val="24"/>
        </w:rPr>
        <w:t xml:space="preserve">balna načela in smernice </w:t>
      </w:r>
      <w:r w:rsidR="00235D78" w:rsidRPr="0062617F">
        <w:rPr>
          <w:rFonts w:eastAsiaTheme="minorEastAsia"/>
          <w:b/>
          <w:bCs/>
          <w:kern w:val="24"/>
        </w:rPr>
        <w:t>družbene odgovornosti podjetij</w:t>
      </w:r>
    </w:p>
    <w:p w:rsidR="00CB2161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3963D5" w:rsidRDefault="006866CC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62617F">
        <w:rPr>
          <w:rFonts w:eastAsiaTheme="minorEastAsia"/>
          <w:bCs/>
          <w:kern w:val="24"/>
        </w:rPr>
        <w:t>V</w:t>
      </w:r>
      <w:r w:rsidR="00A3761E" w:rsidRPr="0062617F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 xml:space="preserve">svetu je bilo </w:t>
      </w:r>
      <w:r w:rsidR="00BD5AD0" w:rsidRPr="0062617F">
        <w:rPr>
          <w:rFonts w:eastAsiaTheme="minorEastAsia"/>
          <w:bCs/>
          <w:kern w:val="24"/>
        </w:rPr>
        <w:t>v</w:t>
      </w:r>
      <w:r w:rsidRPr="0062617F">
        <w:rPr>
          <w:rFonts w:eastAsiaTheme="minorEastAsia"/>
          <w:bCs/>
          <w:kern w:val="24"/>
        </w:rPr>
        <w:t xml:space="preserve"> najbolj </w:t>
      </w:r>
      <w:r w:rsidR="00235D78" w:rsidRPr="0062617F">
        <w:rPr>
          <w:rFonts w:eastAsiaTheme="minorEastAsia"/>
          <w:bCs/>
          <w:kern w:val="24"/>
        </w:rPr>
        <w:t>reprezentativnih</w:t>
      </w:r>
      <w:r w:rsidR="001804F1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>svetovnih institucija</w:t>
      </w:r>
      <w:r w:rsidR="00235D78" w:rsidRPr="0062617F">
        <w:rPr>
          <w:rFonts w:eastAsiaTheme="minorEastAsia"/>
          <w:bCs/>
          <w:kern w:val="24"/>
        </w:rPr>
        <w:t xml:space="preserve">h </w:t>
      </w:r>
      <w:r w:rsidRPr="0062617F">
        <w:rPr>
          <w:rFonts w:eastAsiaTheme="minorEastAsia"/>
          <w:bCs/>
          <w:kern w:val="24"/>
        </w:rPr>
        <w:t>sprejetih vrsta dokum</w:t>
      </w:r>
      <w:r w:rsidR="00A3761E" w:rsidRPr="0062617F">
        <w:rPr>
          <w:rFonts w:eastAsiaTheme="minorEastAsia"/>
          <w:bCs/>
          <w:kern w:val="24"/>
        </w:rPr>
        <w:t>e</w:t>
      </w:r>
      <w:r w:rsidRPr="0062617F">
        <w:rPr>
          <w:rFonts w:eastAsiaTheme="minorEastAsia"/>
          <w:bCs/>
          <w:kern w:val="24"/>
        </w:rPr>
        <w:t xml:space="preserve">ntov, ki </w:t>
      </w:r>
      <w:r w:rsidR="00A3761E" w:rsidRPr="0062617F">
        <w:rPr>
          <w:rFonts w:eastAsiaTheme="minorEastAsia"/>
          <w:bCs/>
          <w:kern w:val="24"/>
        </w:rPr>
        <w:t xml:space="preserve">v globalnem pomenu predstavljajo </w:t>
      </w:r>
      <w:r w:rsidR="00A3761E" w:rsidRPr="002C0654">
        <w:rPr>
          <w:rFonts w:eastAsiaTheme="minorEastAsia"/>
          <w:b/>
          <w:bCs/>
          <w:kern w:val="24"/>
        </w:rPr>
        <w:t xml:space="preserve">okvir in smer </w:t>
      </w:r>
      <w:r w:rsidR="00235D78" w:rsidRPr="002C0654">
        <w:rPr>
          <w:rFonts w:eastAsiaTheme="minorEastAsia"/>
          <w:b/>
          <w:bCs/>
          <w:kern w:val="24"/>
        </w:rPr>
        <w:t>družbene odgovornosti</w:t>
      </w:r>
      <w:r w:rsidR="00A3761E" w:rsidRPr="0062617F">
        <w:rPr>
          <w:rFonts w:eastAsiaTheme="minorEastAsia"/>
          <w:bCs/>
          <w:kern w:val="24"/>
        </w:rPr>
        <w:t>, kot npr</w:t>
      </w:r>
      <w:r w:rsidR="00FF55F0">
        <w:rPr>
          <w:rFonts w:eastAsiaTheme="minorEastAsia"/>
          <w:bCs/>
          <w:kern w:val="24"/>
        </w:rPr>
        <w:t>.</w:t>
      </w:r>
      <w:r w:rsidR="00A3761E" w:rsidRPr="0062617F">
        <w:rPr>
          <w:rFonts w:eastAsiaTheme="minorEastAsia"/>
          <w:bCs/>
          <w:kern w:val="24"/>
        </w:rPr>
        <w:t xml:space="preserve"> v okviru Organizacije združenih narodov (OZN) </w:t>
      </w:r>
      <w:r w:rsidR="003963D5" w:rsidRPr="0062617F">
        <w:rPr>
          <w:rFonts w:eastAsiaTheme="minorEastAsia"/>
          <w:bCs/>
          <w:kern w:val="24"/>
        </w:rPr>
        <w:t xml:space="preserve">Globalni dogovor in Pravila o odgovornosti nadnacionalnih družb in drugih podjetij v zvezi s človekovimi pravicami, ki so </w:t>
      </w:r>
      <w:r w:rsidR="002C0654">
        <w:rPr>
          <w:rFonts w:eastAsiaTheme="minorEastAsia"/>
          <w:bCs/>
          <w:kern w:val="24"/>
        </w:rPr>
        <w:t>jih Združeni narodi sprejeli</w:t>
      </w:r>
      <w:r w:rsidR="00A3761E" w:rsidRPr="0062617F">
        <w:rPr>
          <w:rFonts w:eastAsiaTheme="minorEastAsia"/>
          <w:bCs/>
          <w:kern w:val="24"/>
        </w:rPr>
        <w:t xml:space="preserve"> decembra 2003.</w:t>
      </w:r>
      <w:r w:rsidR="00BD5AD0" w:rsidRPr="0062617F">
        <w:t xml:space="preserve"> </w:t>
      </w:r>
      <w:r w:rsidR="00A3761E" w:rsidRPr="0062617F">
        <w:rPr>
          <w:rFonts w:eastAsiaTheme="minorEastAsia"/>
          <w:bCs/>
          <w:kern w:val="24"/>
        </w:rPr>
        <w:t xml:space="preserve">Ali pa </w:t>
      </w:r>
      <w:r w:rsidR="003963D5" w:rsidRPr="0062617F">
        <w:rPr>
          <w:rFonts w:eastAsiaTheme="minorEastAsia"/>
          <w:bCs/>
          <w:kern w:val="24"/>
        </w:rPr>
        <w:t>Tristranska deklaracija o načelih večnacionalnih podjetij in socialne politike</w:t>
      </w:r>
      <w:r w:rsidR="002C0654">
        <w:rPr>
          <w:rFonts w:eastAsiaTheme="minorEastAsia"/>
          <w:bCs/>
          <w:kern w:val="24"/>
        </w:rPr>
        <w:t>,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A3761E" w:rsidRPr="0062617F">
        <w:rPr>
          <w:rFonts w:eastAsiaTheme="minorEastAsia"/>
          <w:bCs/>
          <w:kern w:val="24"/>
        </w:rPr>
        <w:t xml:space="preserve">sprejeta v okviru </w:t>
      </w:r>
      <w:r w:rsidR="003963D5" w:rsidRPr="0062617F">
        <w:rPr>
          <w:rFonts w:eastAsiaTheme="minorEastAsia"/>
          <w:bCs/>
          <w:kern w:val="24"/>
        </w:rPr>
        <w:t xml:space="preserve">Mednarodne organizacije dela </w:t>
      </w:r>
      <w:r w:rsidR="00A3761E" w:rsidRPr="0062617F">
        <w:rPr>
          <w:rFonts w:eastAsiaTheme="minorEastAsia"/>
          <w:bCs/>
          <w:kern w:val="24"/>
        </w:rPr>
        <w:t>(MOD)</w:t>
      </w:r>
      <w:r w:rsidR="002C0654">
        <w:rPr>
          <w:rFonts w:eastAsiaTheme="minorEastAsia"/>
          <w:bCs/>
          <w:kern w:val="24"/>
        </w:rPr>
        <w:t>,</w:t>
      </w:r>
      <w:r w:rsidR="00A3761E" w:rsidRPr="0062617F">
        <w:rPr>
          <w:rFonts w:eastAsiaTheme="minorEastAsia"/>
          <w:bCs/>
          <w:kern w:val="24"/>
        </w:rPr>
        <w:t xml:space="preserve"> in </w:t>
      </w:r>
      <w:r w:rsidR="003963D5" w:rsidRPr="0062617F">
        <w:rPr>
          <w:rFonts w:eastAsiaTheme="minorEastAsia"/>
          <w:bCs/>
          <w:kern w:val="24"/>
        </w:rPr>
        <w:t>Smernice OECD</w:t>
      </w:r>
      <w:r w:rsidR="00C65254">
        <w:rPr>
          <w:rStyle w:val="Sprotnaopomba-sklic"/>
          <w:rFonts w:eastAsiaTheme="minorEastAsia"/>
          <w:bCs/>
          <w:kern w:val="24"/>
        </w:rPr>
        <w:footnoteReference w:id="1"/>
      </w:r>
      <w:r w:rsidR="00A3761E" w:rsidRPr="0062617F">
        <w:rPr>
          <w:rFonts w:eastAsiaTheme="minorEastAsia"/>
          <w:bCs/>
          <w:kern w:val="24"/>
        </w:rPr>
        <w:t xml:space="preserve"> za večnacionalna podjetja.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</w:pPr>
    </w:p>
    <w:p w:rsidR="000B075E" w:rsidRDefault="000B075E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C65254">
        <w:rPr>
          <w:rFonts w:eastAsiaTheme="minorEastAsia"/>
          <w:b/>
          <w:kern w:val="24"/>
        </w:rPr>
        <w:t>Globalni dogovor Združenih narodov</w:t>
      </w:r>
      <w:r w:rsidRPr="0062617F">
        <w:rPr>
          <w:rFonts w:eastAsiaTheme="minorEastAsia"/>
          <w:kern w:val="24"/>
        </w:rPr>
        <w:t xml:space="preserve"> sestavlja </w:t>
      </w:r>
      <w:r w:rsidRPr="00C65254">
        <w:rPr>
          <w:rFonts w:eastAsiaTheme="minorEastAsia"/>
          <w:bCs/>
          <w:kern w:val="24"/>
        </w:rPr>
        <w:t>deset načel</w:t>
      </w:r>
      <w:r w:rsidRPr="0062617F">
        <w:rPr>
          <w:rFonts w:eastAsiaTheme="minorEastAsia"/>
          <w:bCs/>
          <w:kern w:val="24"/>
        </w:rPr>
        <w:t xml:space="preserve">, ki </w:t>
      </w:r>
      <w:r w:rsidRPr="0062617F">
        <w:rPr>
          <w:rFonts w:eastAsiaTheme="minorEastAsia"/>
          <w:kern w:val="24"/>
        </w:rPr>
        <w:t xml:space="preserve">od podjetij pričakujejo, naj </w:t>
      </w:r>
      <w:r w:rsidRPr="0062617F">
        <w:rPr>
          <w:rFonts w:eastAsiaTheme="minorEastAsia"/>
          <w:bCs/>
          <w:kern w:val="24"/>
        </w:rPr>
        <w:t xml:space="preserve">sprejmejo, podpirajo in uresničujejo </w:t>
      </w:r>
      <w:r w:rsidRPr="0062617F">
        <w:rPr>
          <w:rFonts w:eastAsiaTheme="minorEastAsia"/>
          <w:kern w:val="24"/>
        </w:rPr>
        <w:t xml:space="preserve">kot </w:t>
      </w:r>
      <w:r w:rsidRPr="0062617F">
        <w:rPr>
          <w:rFonts w:eastAsiaTheme="minorEastAsia"/>
          <w:bCs/>
          <w:kern w:val="24"/>
        </w:rPr>
        <w:t>sklop temeljnih vrednot</w:t>
      </w:r>
      <w:r w:rsidR="00C65254">
        <w:rPr>
          <w:rFonts w:eastAsiaTheme="minorEastAsia"/>
          <w:bCs/>
          <w:kern w:val="24"/>
        </w:rPr>
        <w:t>,</w:t>
      </w:r>
      <w:r w:rsidRPr="0062617F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kern w:val="24"/>
        </w:rPr>
        <w:t xml:space="preserve">h katerim se družbe </w:t>
      </w:r>
      <w:r w:rsidRPr="0062617F">
        <w:rPr>
          <w:rFonts w:eastAsiaTheme="minorEastAsia"/>
          <w:bCs/>
          <w:kern w:val="24"/>
        </w:rPr>
        <w:t xml:space="preserve">prostovoljno </w:t>
      </w:r>
      <w:r w:rsidRPr="0062617F">
        <w:rPr>
          <w:rFonts w:eastAsiaTheme="minorEastAsia"/>
          <w:kern w:val="24"/>
        </w:rPr>
        <w:t xml:space="preserve">zavežejo in jih </w:t>
      </w:r>
      <w:r w:rsidRPr="0062617F">
        <w:rPr>
          <w:rFonts w:eastAsiaTheme="minorEastAsia"/>
          <w:bCs/>
          <w:kern w:val="24"/>
        </w:rPr>
        <w:t xml:space="preserve">vključijo v svoje poslovno delovanje </w:t>
      </w:r>
      <w:r w:rsidR="004D2704" w:rsidRPr="0062617F">
        <w:rPr>
          <w:rFonts w:eastAsiaTheme="minorEastAsia"/>
          <w:kern w:val="24"/>
        </w:rPr>
        <w:t xml:space="preserve">s področja </w:t>
      </w:r>
      <w:r w:rsidRPr="0062617F">
        <w:rPr>
          <w:rFonts w:eastAsiaTheme="minorEastAsia"/>
          <w:bCs/>
          <w:kern w:val="24"/>
        </w:rPr>
        <w:t>človekovih pravic,</w:t>
      </w:r>
      <w:r w:rsidR="001804F1">
        <w:rPr>
          <w:rFonts w:eastAsiaTheme="minorEastAsia"/>
          <w:bCs/>
          <w:kern w:val="24"/>
        </w:rPr>
        <w:t xml:space="preserve"> </w:t>
      </w:r>
      <w:r w:rsidRPr="00C65254">
        <w:rPr>
          <w:rFonts w:eastAsiaTheme="minorEastAsia"/>
          <w:bCs/>
          <w:kern w:val="24"/>
        </w:rPr>
        <w:t>temeljnih delavskih standardov,</w:t>
      </w:r>
      <w:r w:rsidR="001804F1">
        <w:rPr>
          <w:rFonts w:eastAsiaTheme="minorEastAsia"/>
          <w:bCs/>
          <w:kern w:val="24"/>
        </w:rPr>
        <w:t xml:space="preserve"> </w:t>
      </w:r>
      <w:r w:rsidRPr="00C65254">
        <w:rPr>
          <w:rFonts w:eastAsiaTheme="minorEastAsia"/>
          <w:bCs/>
          <w:kern w:val="24"/>
        </w:rPr>
        <w:t xml:space="preserve">okolja in </w:t>
      </w:r>
      <w:r w:rsidR="004D2704" w:rsidRPr="00C65254">
        <w:rPr>
          <w:rFonts w:eastAsiaTheme="minorEastAsia"/>
          <w:bCs/>
          <w:kern w:val="24"/>
        </w:rPr>
        <w:t>boja proti korupciji.</w:t>
      </w:r>
    </w:p>
    <w:p w:rsidR="00CB2161" w:rsidRPr="00C65254" w:rsidRDefault="00CB2161" w:rsidP="00CB2161">
      <w:pPr>
        <w:pStyle w:val="Navadensplet"/>
        <w:spacing w:before="0" w:beforeAutospacing="0" w:after="0" w:afterAutospacing="0"/>
        <w:jc w:val="both"/>
      </w:pPr>
    </w:p>
    <w:p w:rsidR="000B075E" w:rsidRDefault="000B075E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C65254">
        <w:rPr>
          <w:rFonts w:eastAsiaTheme="minorEastAsia"/>
          <w:b/>
          <w:kern w:val="24"/>
        </w:rPr>
        <w:t>Tristranska deklaracija MOD</w:t>
      </w:r>
      <w:r w:rsidRPr="0062617F">
        <w:rPr>
          <w:rFonts w:eastAsiaTheme="minorEastAsia"/>
          <w:kern w:val="24"/>
        </w:rPr>
        <w:t xml:space="preserve"> </w:t>
      </w:r>
      <w:r w:rsidRPr="00C65254">
        <w:rPr>
          <w:rFonts w:eastAsiaTheme="minorEastAsia"/>
          <w:b/>
          <w:kern w:val="24"/>
        </w:rPr>
        <w:t>o večnacionalnih podjetjih</w:t>
      </w:r>
      <w:r w:rsidRPr="0062617F">
        <w:rPr>
          <w:rFonts w:eastAsiaTheme="minorEastAsia"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>usmerja vlade, večnacionalna podjetja in delavce na področjih</w:t>
      </w:r>
      <w:r w:rsidR="004D2704" w:rsidRPr="0062617F">
        <w:rPr>
          <w:rFonts w:eastAsiaTheme="minorEastAsia"/>
          <w:kern w:val="24"/>
        </w:rPr>
        <w:t>, kot so</w:t>
      </w:r>
      <w:r w:rsidR="00B76261">
        <w:rPr>
          <w:rFonts w:eastAsiaTheme="minorEastAsia"/>
          <w:kern w:val="24"/>
        </w:rPr>
        <w:t>:</w:t>
      </w:r>
      <w:r w:rsidR="004D2704" w:rsidRPr="0062617F">
        <w:rPr>
          <w:rFonts w:eastAsiaTheme="minorEastAsia"/>
          <w:kern w:val="24"/>
        </w:rPr>
        <w:t xml:space="preserve"> </w:t>
      </w:r>
      <w:r w:rsidRPr="0062617F">
        <w:rPr>
          <w:rFonts w:eastAsiaTheme="minorEastAsia"/>
          <w:kern w:val="24"/>
        </w:rPr>
        <w:t>zaposlovanje, usposabljanje, pogoji dela ter</w:t>
      </w:r>
      <w:r w:rsidR="001804F1">
        <w:rPr>
          <w:rFonts w:eastAsiaTheme="minorEastAsia"/>
          <w:kern w:val="24"/>
        </w:rPr>
        <w:t xml:space="preserve"> </w:t>
      </w:r>
      <w:r w:rsidR="004D2704" w:rsidRPr="0062617F">
        <w:rPr>
          <w:rFonts w:eastAsiaTheme="minorEastAsia"/>
          <w:kern w:val="24"/>
        </w:rPr>
        <w:t>poslovni odnosi.</w:t>
      </w:r>
      <w:r w:rsidR="004D2704" w:rsidRPr="0062617F">
        <w:t xml:space="preserve"> </w:t>
      </w:r>
      <w:r w:rsidRPr="0062617F">
        <w:rPr>
          <w:rFonts w:eastAsiaTheme="minorEastAsia"/>
          <w:kern w:val="24"/>
        </w:rPr>
        <w:t xml:space="preserve">Vključuje tudi </w:t>
      </w:r>
      <w:r w:rsidRPr="0062617F">
        <w:rPr>
          <w:rFonts w:eastAsiaTheme="minorEastAsia"/>
          <w:bCs/>
          <w:kern w:val="24"/>
        </w:rPr>
        <w:t>zavezo držav, da bodo spoštovale in spodbujale štiri temeljne delavske standarde</w:t>
      </w:r>
      <w:r w:rsidR="00C65254">
        <w:rPr>
          <w:rFonts w:eastAsiaTheme="minorEastAsia"/>
          <w:bCs/>
          <w:kern w:val="24"/>
        </w:rPr>
        <w:t>:</w:t>
      </w:r>
      <w:r w:rsidR="004D2704" w:rsidRPr="0062617F">
        <w:rPr>
          <w:rFonts w:eastAsiaTheme="minorEastAsia"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>svobodo združevanja in pravico do pogajanj z</w:t>
      </w:r>
      <w:r w:rsidR="004D2704" w:rsidRPr="0062617F">
        <w:rPr>
          <w:rFonts w:eastAsiaTheme="minorEastAsia"/>
          <w:bCs/>
          <w:kern w:val="24"/>
        </w:rPr>
        <w:t xml:space="preserve">a sklenitev kolektivnih pogodb, </w:t>
      </w:r>
      <w:r w:rsidRPr="0062617F">
        <w:rPr>
          <w:rFonts w:eastAsiaTheme="minorEastAsia"/>
          <w:bCs/>
          <w:kern w:val="24"/>
        </w:rPr>
        <w:t>odpr</w:t>
      </w:r>
      <w:r w:rsidR="004D2704" w:rsidRPr="0062617F">
        <w:rPr>
          <w:rFonts w:eastAsiaTheme="minorEastAsia"/>
          <w:bCs/>
          <w:kern w:val="24"/>
        </w:rPr>
        <w:t>avo vseh oblik prisilnega dela, odpravo otroškega dela</w:t>
      </w:r>
      <w:r w:rsidRPr="0062617F">
        <w:rPr>
          <w:rFonts w:eastAsiaTheme="minorEastAsia"/>
          <w:bCs/>
          <w:kern w:val="24"/>
        </w:rPr>
        <w:t xml:space="preserve"> in</w:t>
      </w:r>
      <w:r w:rsidR="001804F1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 xml:space="preserve">odpravo </w:t>
      </w:r>
      <w:r w:rsidR="00AD397D">
        <w:rPr>
          <w:rFonts w:eastAsiaTheme="minorEastAsia"/>
          <w:bCs/>
          <w:kern w:val="24"/>
        </w:rPr>
        <w:t>diskriminacije pri zaposlovanju.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</w:pPr>
    </w:p>
    <w:p w:rsidR="000B075E" w:rsidRDefault="000B075E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C65254">
        <w:rPr>
          <w:rFonts w:eastAsiaTheme="minorEastAsia"/>
          <w:b/>
          <w:bCs/>
          <w:kern w:val="24"/>
        </w:rPr>
        <w:t>Smernice OECD za večnacionalna podjetja</w:t>
      </w:r>
      <w:r w:rsidRPr="0062617F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kern w:val="24"/>
        </w:rPr>
        <w:t xml:space="preserve">iz leta 2000 in posodobljene različice teh </w:t>
      </w:r>
      <w:r w:rsidRPr="0062617F">
        <w:rPr>
          <w:rFonts w:eastAsiaTheme="minorEastAsia"/>
          <w:bCs/>
          <w:kern w:val="24"/>
        </w:rPr>
        <w:t>priporočil</w:t>
      </w:r>
      <w:r w:rsidRPr="0062617F">
        <w:rPr>
          <w:rFonts w:eastAsiaTheme="minorEastAsia"/>
          <w:kern w:val="24"/>
        </w:rPr>
        <w:t xml:space="preserve"> iz leta 2010, ki jih </w:t>
      </w:r>
      <w:r w:rsidRPr="0062617F">
        <w:rPr>
          <w:rFonts w:eastAsiaTheme="minorEastAsia"/>
          <w:bCs/>
          <w:kern w:val="24"/>
        </w:rPr>
        <w:t xml:space="preserve">vlade naslavljajo na družbe </w:t>
      </w:r>
      <w:r w:rsidRPr="0062617F">
        <w:rPr>
          <w:rFonts w:eastAsiaTheme="minorEastAsia"/>
          <w:kern w:val="24"/>
        </w:rPr>
        <w:t xml:space="preserve">in v katerih so </w:t>
      </w:r>
      <w:r w:rsidRPr="0062617F">
        <w:rPr>
          <w:rFonts w:eastAsiaTheme="minorEastAsia"/>
          <w:bCs/>
          <w:kern w:val="24"/>
        </w:rPr>
        <w:t>prostovoljni standardi</w:t>
      </w:r>
      <w:r w:rsidRPr="0062617F">
        <w:rPr>
          <w:rFonts w:eastAsiaTheme="minorEastAsia"/>
          <w:bCs/>
          <w:kern w:val="24"/>
          <w:u w:val="single"/>
        </w:rPr>
        <w:t xml:space="preserve"> </w:t>
      </w:r>
      <w:r w:rsidRPr="0062617F">
        <w:rPr>
          <w:rFonts w:eastAsiaTheme="minorEastAsia"/>
          <w:bCs/>
          <w:kern w:val="24"/>
        </w:rPr>
        <w:t>odgovornega ravnanja,</w:t>
      </w:r>
      <w:r w:rsidR="001804F1">
        <w:rPr>
          <w:rFonts w:eastAsiaTheme="minorEastAsia"/>
          <w:bCs/>
          <w:kern w:val="24"/>
        </w:rPr>
        <w:t xml:space="preserve"> </w:t>
      </w:r>
      <w:r w:rsidR="004D2704" w:rsidRPr="0062617F">
        <w:rPr>
          <w:rFonts w:eastAsiaTheme="minorEastAsia"/>
          <w:kern w:val="24"/>
        </w:rPr>
        <w:t xml:space="preserve">zlasti s področja </w:t>
      </w:r>
      <w:r w:rsidRPr="0062617F">
        <w:rPr>
          <w:rFonts w:eastAsiaTheme="minorEastAsia"/>
          <w:bCs/>
          <w:kern w:val="24"/>
        </w:rPr>
        <w:t xml:space="preserve">odnosov s socialnimi partnerji, zaposlovanja, človekovih pravic, okolja, interesov potrošnikov, boja proti korupciji in </w:t>
      </w:r>
      <w:r w:rsidR="004D2704" w:rsidRPr="0062617F">
        <w:rPr>
          <w:rFonts w:eastAsiaTheme="minorEastAsia"/>
          <w:bCs/>
          <w:kern w:val="24"/>
        </w:rPr>
        <w:t>izogibanja davkom.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</w:pPr>
    </w:p>
    <w:p w:rsidR="004D2704" w:rsidRPr="0062617F" w:rsidRDefault="004D2704" w:rsidP="00CB2161">
      <w:pPr>
        <w:pStyle w:val="Navadensplet"/>
        <w:spacing w:before="0" w:beforeAutospacing="0" w:after="0" w:afterAutospacing="0"/>
        <w:jc w:val="both"/>
      </w:pPr>
      <w:r w:rsidRPr="0062617F">
        <w:t xml:space="preserve">Pomembni so še </w:t>
      </w:r>
      <w:r w:rsidRPr="00C65254">
        <w:rPr>
          <w:rFonts w:eastAsiaTheme="minorEastAsia"/>
          <w:b/>
          <w:bCs/>
          <w:kern w:val="24"/>
        </w:rPr>
        <w:t>Usmerjevalni standard IS</w:t>
      </w:r>
      <w:r w:rsidR="000E31BA" w:rsidRPr="00C65254">
        <w:rPr>
          <w:rFonts w:eastAsiaTheme="minorEastAsia"/>
          <w:b/>
          <w:bCs/>
          <w:kern w:val="24"/>
        </w:rPr>
        <w:t>O 26000 o družbeni odgovornosti</w:t>
      </w:r>
      <w:r w:rsidR="000E31BA" w:rsidRPr="0062617F">
        <w:rPr>
          <w:rFonts w:eastAsiaTheme="minorEastAsia"/>
          <w:bCs/>
          <w:kern w:val="24"/>
        </w:rPr>
        <w:t>.</w:t>
      </w:r>
    </w:p>
    <w:p w:rsidR="004D2704" w:rsidRPr="0062617F" w:rsidRDefault="004D2704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62617F" w:rsidRDefault="004D2704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62617F">
        <w:rPr>
          <w:rFonts w:eastAsiaTheme="minorEastAsia"/>
          <w:b/>
          <w:bCs/>
          <w:kern w:val="24"/>
        </w:rPr>
        <w:t xml:space="preserve">Pravni akti EU </w:t>
      </w:r>
      <w:r w:rsidR="00EB7B0A" w:rsidRPr="0062617F">
        <w:rPr>
          <w:rFonts w:eastAsiaTheme="minorEastAsia"/>
          <w:b/>
          <w:bCs/>
          <w:kern w:val="24"/>
        </w:rPr>
        <w:t>o družbeni odgovornosti</w:t>
      </w:r>
      <w:r w:rsidR="0062617F" w:rsidRPr="0062617F">
        <w:rPr>
          <w:rFonts w:eastAsiaTheme="minorEastAsia"/>
          <w:bCs/>
          <w:kern w:val="24"/>
        </w:rPr>
        <w:t xml:space="preserve"> </w:t>
      </w:r>
    </w:p>
    <w:p w:rsidR="00CB2161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0B075E" w:rsidRDefault="00BD5AD0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62617F">
        <w:rPr>
          <w:rFonts w:eastAsiaTheme="minorEastAsia"/>
          <w:bCs/>
          <w:kern w:val="24"/>
        </w:rPr>
        <w:t xml:space="preserve">Prispevek institucij EU k razvoju družbene odgovornosti je velik. </w:t>
      </w:r>
      <w:r w:rsidR="00F93108" w:rsidRPr="0062617F">
        <w:rPr>
          <w:rFonts w:eastAsiaTheme="minorEastAsia"/>
          <w:bCs/>
          <w:kern w:val="24"/>
        </w:rPr>
        <w:t>E</w:t>
      </w:r>
      <w:r w:rsidR="00A3761E" w:rsidRPr="0062617F">
        <w:rPr>
          <w:rFonts w:eastAsiaTheme="minorEastAsia"/>
          <w:bCs/>
          <w:kern w:val="24"/>
        </w:rPr>
        <w:t xml:space="preserve">den od temeljnih dokumentov </w:t>
      </w:r>
      <w:r w:rsidR="00F93108" w:rsidRPr="0062617F">
        <w:rPr>
          <w:rFonts w:eastAsiaTheme="minorEastAsia"/>
          <w:bCs/>
          <w:kern w:val="24"/>
        </w:rPr>
        <w:t xml:space="preserve">EU s tega področja je </w:t>
      </w:r>
      <w:r w:rsidR="003963D5" w:rsidRPr="000F3BA0">
        <w:rPr>
          <w:rFonts w:eastAsiaTheme="minorEastAsia"/>
          <w:b/>
          <w:bCs/>
          <w:kern w:val="24"/>
        </w:rPr>
        <w:t>Zelena knjiga</w:t>
      </w:r>
      <w:r w:rsidR="003963D5" w:rsidRPr="0062617F">
        <w:rPr>
          <w:rFonts w:eastAsiaTheme="minorEastAsia"/>
          <w:bCs/>
          <w:kern w:val="24"/>
        </w:rPr>
        <w:t xml:space="preserve"> Komisije EU o spodbujanju evropskega okvira za družbeno </w:t>
      </w:r>
      <w:r w:rsidR="00AD397D">
        <w:rPr>
          <w:rFonts w:eastAsiaTheme="minorEastAsia"/>
          <w:bCs/>
          <w:kern w:val="24"/>
        </w:rPr>
        <w:t>odgovornost gospodarskih družb</w:t>
      </w:r>
      <w:r w:rsidR="001804F1">
        <w:rPr>
          <w:rFonts w:eastAsiaTheme="minorEastAsia"/>
          <w:bCs/>
          <w:kern w:val="24"/>
        </w:rPr>
        <w:t xml:space="preserve"> </w:t>
      </w:r>
      <w:r w:rsidR="00F0031B">
        <w:rPr>
          <w:rFonts w:eastAsiaTheme="minorEastAsia"/>
          <w:bCs/>
          <w:kern w:val="24"/>
        </w:rPr>
        <w:t>(</w:t>
      </w:r>
      <w:r w:rsidR="00AD397D">
        <w:rPr>
          <w:rFonts w:eastAsiaTheme="minorEastAsia"/>
          <w:bCs/>
          <w:kern w:val="24"/>
        </w:rPr>
        <w:t>COM/</w:t>
      </w:r>
      <w:r w:rsidR="003963D5" w:rsidRPr="0062617F">
        <w:rPr>
          <w:rFonts w:eastAsiaTheme="minorEastAsia"/>
          <w:bCs/>
          <w:kern w:val="24"/>
        </w:rPr>
        <w:t>2001</w:t>
      </w:r>
      <w:r w:rsidR="00AD397D">
        <w:rPr>
          <w:rFonts w:eastAsiaTheme="minorEastAsia"/>
          <w:bCs/>
          <w:kern w:val="24"/>
        </w:rPr>
        <w:t>/0</w:t>
      </w:r>
      <w:r w:rsidR="003963D5" w:rsidRPr="0062617F">
        <w:rPr>
          <w:rFonts w:eastAsiaTheme="minorEastAsia"/>
          <w:bCs/>
          <w:kern w:val="24"/>
        </w:rPr>
        <w:t>366</w:t>
      </w:r>
      <w:r w:rsidR="00F0031B">
        <w:rPr>
          <w:rFonts w:eastAsiaTheme="minorEastAsia"/>
          <w:bCs/>
          <w:kern w:val="24"/>
        </w:rPr>
        <w:t>)</w:t>
      </w:r>
      <w:r w:rsidR="003963D5" w:rsidRPr="0062617F">
        <w:rPr>
          <w:rFonts w:eastAsiaTheme="minorEastAsia"/>
          <w:bCs/>
          <w:kern w:val="24"/>
        </w:rPr>
        <w:t xml:space="preserve">, ki je bila naknadno vključena v </w:t>
      </w:r>
      <w:r w:rsidR="003963D5" w:rsidRPr="000F3BA0">
        <w:rPr>
          <w:rFonts w:eastAsiaTheme="minorEastAsia"/>
          <w:b/>
          <w:bCs/>
          <w:kern w:val="24"/>
        </w:rPr>
        <w:t>Belo knjigo</w:t>
      </w:r>
      <w:r w:rsidR="003963D5" w:rsidRPr="0062617F">
        <w:rPr>
          <w:rFonts w:eastAsiaTheme="minorEastAsia"/>
          <w:bCs/>
          <w:kern w:val="24"/>
        </w:rPr>
        <w:t xml:space="preserve"> o sporočilu Komisije v zvezi z družbeno odgovornostjo gospodarskih družb: prispevek podjetij k trajnostnemu </w:t>
      </w:r>
      <w:r w:rsidR="00AD397D">
        <w:rPr>
          <w:rFonts w:eastAsiaTheme="minorEastAsia"/>
          <w:bCs/>
          <w:kern w:val="24"/>
        </w:rPr>
        <w:t xml:space="preserve">razvoju </w:t>
      </w:r>
      <w:r w:rsidR="00F0031B">
        <w:rPr>
          <w:rFonts w:eastAsiaTheme="minorEastAsia"/>
          <w:bCs/>
          <w:kern w:val="24"/>
        </w:rPr>
        <w:t>(</w:t>
      </w:r>
      <w:r w:rsidR="00AD397D">
        <w:rPr>
          <w:rFonts w:eastAsiaTheme="minorEastAsia"/>
          <w:bCs/>
          <w:kern w:val="24"/>
        </w:rPr>
        <w:t>COM/2002/</w:t>
      </w:r>
      <w:r w:rsidR="003963D5" w:rsidRPr="0062617F">
        <w:rPr>
          <w:rFonts w:eastAsiaTheme="minorEastAsia"/>
          <w:bCs/>
          <w:kern w:val="24"/>
        </w:rPr>
        <w:t>0347</w:t>
      </w:r>
      <w:r w:rsidR="00F0031B">
        <w:rPr>
          <w:rFonts w:eastAsiaTheme="minorEastAsia"/>
          <w:bCs/>
          <w:kern w:val="24"/>
        </w:rPr>
        <w:t>)</w:t>
      </w:r>
      <w:r w:rsidR="00A3761E" w:rsidRPr="0062617F">
        <w:rPr>
          <w:rFonts w:eastAsiaTheme="minorEastAsia"/>
          <w:bCs/>
          <w:kern w:val="24"/>
        </w:rPr>
        <w:t>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3963D5" w:rsidRPr="0062617F" w:rsidRDefault="00A3761E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2617F">
        <w:rPr>
          <w:rFonts w:eastAsiaTheme="minorEastAsia"/>
          <w:bCs/>
          <w:kern w:val="24"/>
        </w:rPr>
        <w:t xml:space="preserve">V zadnjem času sta to še </w:t>
      </w:r>
      <w:r w:rsidR="003963D5" w:rsidRPr="000F3BA0">
        <w:rPr>
          <w:rFonts w:eastAsiaTheme="minorEastAsia"/>
          <w:b/>
          <w:bCs/>
          <w:kern w:val="24"/>
        </w:rPr>
        <w:t>Resolucija Evropskega parlamenta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3963D5" w:rsidRPr="00510C85">
        <w:rPr>
          <w:rFonts w:eastAsiaTheme="minorEastAsia"/>
          <w:b/>
          <w:bCs/>
          <w:kern w:val="24"/>
        </w:rPr>
        <w:t>z dne 25. novembra 2010</w:t>
      </w:r>
      <w:r w:rsidR="003963D5" w:rsidRPr="0062617F">
        <w:rPr>
          <w:rFonts w:eastAsiaTheme="minorEastAsia"/>
          <w:bCs/>
          <w:kern w:val="24"/>
        </w:rPr>
        <w:t xml:space="preserve"> o družbeni odgovornosti gospodarskih družb v mednarodnih trgovinskih sporazumih (2009/2201(INI)</w:t>
      </w:r>
      <w:r w:rsidRPr="0062617F">
        <w:rPr>
          <w:rFonts w:eastAsiaTheme="minorEastAsia"/>
          <w:kern w:val="24"/>
        </w:rPr>
        <w:t xml:space="preserve"> in</w:t>
      </w:r>
      <w:r w:rsidRPr="0062617F">
        <w:t xml:space="preserve"> </w:t>
      </w:r>
      <w:r w:rsidRPr="00510C85">
        <w:rPr>
          <w:rFonts w:eastAsiaTheme="minorEastAsia"/>
          <w:b/>
          <w:bCs/>
          <w:kern w:val="24"/>
        </w:rPr>
        <w:t>Resolucija Evropskega parlamenta z dne 6. februarja 2013</w:t>
      </w:r>
      <w:r w:rsidRPr="0062617F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kern w:val="24"/>
        </w:rPr>
        <w:t>o družbeni odgovorn</w:t>
      </w:r>
      <w:r w:rsidR="000E31BA" w:rsidRPr="0062617F">
        <w:rPr>
          <w:rFonts w:eastAsiaTheme="minorEastAsia"/>
          <w:kern w:val="24"/>
        </w:rPr>
        <w:t>osti gospodarskih družb: o</w:t>
      </w:r>
      <w:r w:rsidRPr="0062617F">
        <w:rPr>
          <w:rFonts w:eastAsiaTheme="minorEastAsia"/>
          <w:kern w:val="24"/>
        </w:rPr>
        <w:t>pravičljivo, pregledno in odgovorno poslovno ravnanje in trajnostna rast ter</w:t>
      </w:r>
      <w:r w:rsidRPr="0062617F">
        <w:rPr>
          <w:rFonts w:eastAsiaTheme="minorEastAsia"/>
          <w:bCs/>
          <w:kern w:val="24"/>
        </w:rPr>
        <w:t xml:space="preserve"> </w:t>
      </w:r>
      <w:r w:rsidRPr="00510C85">
        <w:rPr>
          <w:rFonts w:eastAsiaTheme="minorEastAsia"/>
          <w:b/>
          <w:bCs/>
          <w:kern w:val="24"/>
        </w:rPr>
        <w:t>Sporočila Komisije</w:t>
      </w:r>
      <w:r w:rsidRPr="0062617F">
        <w:rPr>
          <w:rFonts w:eastAsiaTheme="minorEastAsia"/>
          <w:bCs/>
          <w:kern w:val="24"/>
        </w:rPr>
        <w:t xml:space="preserve"> z naslovom Obnovljena strategija EU </w:t>
      </w:r>
      <w:r w:rsidRPr="0062617F">
        <w:rPr>
          <w:rFonts w:eastAsiaTheme="minorEastAsia"/>
          <w:kern w:val="24"/>
        </w:rPr>
        <w:t>za družbeno odgov</w:t>
      </w:r>
      <w:r w:rsidR="00D84901">
        <w:rPr>
          <w:rFonts w:eastAsiaTheme="minorEastAsia"/>
          <w:kern w:val="24"/>
        </w:rPr>
        <w:t>ornost podjetij za obdobje 2011-</w:t>
      </w:r>
      <w:r w:rsidRPr="0062617F">
        <w:rPr>
          <w:rFonts w:eastAsiaTheme="minorEastAsia"/>
          <w:kern w:val="24"/>
        </w:rPr>
        <w:t>14.</w:t>
      </w:r>
      <w:r w:rsidR="004D2704" w:rsidRPr="0062617F">
        <w:rPr>
          <w:rFonts w:eastAsiaTheme="minorEastAsia"/>
          <w:kern w:val="24"/>
        </w:rPr>
        <w:t xml:space="preserve"> Pomembni so še </w:t>
      </w:r>
      <w:r w:rsidR="004D2704" w:rsidRPr="00510C85">
        <w:rPr>
          <w:rFonts w:eastAsiaTheme="minorEastAsia"/>
          <w:b/>
          <w:bCs/>
          <w:kern w:val="24"/>
        </w:rPr>
        <w:t>Resolucija</w:t>
      </w:r>
      <w:r w:rsidR="003963D5" w:rsidRPr="00510C85">
        <w:rPr>
          <w:rFonts w:eastAsiaTheme="minorEastAsia"/>
          <w:b/>
          <w:bCs/>
          <w:kern w:val="24"/>
        </w:rPr>
        <w:t xml:space="preserve"> Sveta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3963D5" w:rsidRPr="0062617F">
        <w:rPr>
          <w:rFonts w:eastAsiaTheme="minorEastAsia"/>
          <w:kern w:val="24"/>
        </w:rPr>
        <w:t xml:space="preserve">z dne 6. februarja </w:t>
      </w:r>
      <w:r w:rsidR="003963D5" w:rsidRPr="0062617F">
        <w:rPr>
          <w:rFonts w:eastAsiaTheme="minorEastAsia"/>
          <w:bCs/>
          <w:kern w:val="24"/>
        </w:rPr>
        <w:t>2003</w:t>
      </w:r>
      <w:r w:rsidR="003963D5" w:rsidRPr="0062617F">
        <w:rPr>
          <w:rFonts w:eastAsiaTheme="minorEastAsia"/>
          <w:kern w:val="24"/>
        </w:rPr>
        <w:t xml:space="preserve"> o </w:t>
      </w:r>
      <w:r w:rsidR="003963D5" w:rsidRPr="0062617F">
        <w:rPr>
          <w:rFonts w:eastAsiaTheme="minorEastAsia"/>
          <w:bCs/>
          <w:kern w:val="24"/>
        </w:rPr>
        <w:t>družbeni odgovornosti gospodarskih družb,</w:t>
      </w:r>
      <w:r w:rsidR="004D2704" w:rsidRPr="0062617F">
        <w:rPr>
          <w:rFonts w:eastAsiaTheme="minorEastAsia"/>
          <w:bCs/>
          <w:kern w:val="24"/>
        </w:rPr>
        <w:t xml:space="preserve"> </w:t>
      </w:r>
      <w:r w:rsidR="003963D5" w:rsidRPr="00510C85">
        <w:rPr>
          <w:rFonts w:eastAsiaTheme="minorEastAsia"/>
          <w:b/>
          <w:bCs/>
          <w:kern w:val="24"/>
        </w:rPr>
        <w:t>Sporočilo Komisije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3963D5" w:rsidRPr="0062617F">
        <w:rPr>
          <w:rFonts w:eastAsiaTheme="minorEastAsia"/>
          <w:kern w:val="24"/>
        </w:rPr>
        <w:t xml:space="preserve">z naslovom </w:t>
      </w:r>
      <w:r w:rsidR="003963D5" w:rsidRPr="0062617F">
        <w:rPr>
          <w:rFonts w:eastAsiaTheme="minorEastAsia"/>
          <w:bCs/>
          <w:kern w:val="24"/>
        </w:rPr>
        <w:t>„Odgovorna podjetja“</w:t>
      </w:r>
      <w:r w:rsidR="003963D5" w:rsidRPr="0062617F">
        <w:rPr>
          <w:rFonts w:eastAsiaTheme="minorEastAsia"/>
          <w:kern w:val="24"/>
        </w:rPr>
        <w:t>,</w:t>
      </w:r>
      <w:r w:rsidR="004D2704" w:rsidRPr="0062617F">
        <w:rPr>
          <w:rFonts w:eastAsiaTheme="minorEastAsia"/>
          <w:kern w:val="24"/>
        </w:rPr>
        <w:t xml:space="preserve"> </w:t>
      </w:r>
      <w:r w:rsidR="003963D5" w:rsidRPr="00510C85">
        <w:rPr>
          <w:rFonts w:eastAsiaTheme="minorEastAsia"/>
          <w:b/>
          <w:bCs/>
          <w:kern w:val="24"/>
        </w:rPr>
        <w:t>Resolucija z dne 30. maja 2002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3963D5" w:rsidRPr="0062617F">
        <w:rPr>
          <w:rFonts w:eastAsiaTheme="minorEastAsia"/>
          <w:kern w:val="24"/>
        </w:rPr>
        <w:t>o Zeleni knjigi Komisije o spodbujanju evropskega okvira za družbeno odgovornost gospodarskih družb,</w:t>
      </w:r>
      <w:r w:rsidR="004D2704" w:rsidRPr="0062617F">
        <w:rPr>
          <w:rFonts w:eastAsiaTheme="minorEastAsia"/>
          <w:kern w:val="24"/>
        </w:rPr>
        <w:t xml:space="preserve"> </w:t>
      </w:r>
      <w:r w:rsidR="003963D5" w:rsidRPr="00510C85">
        <w:rPr>
          <w:rFonts w:eastAsiaTheme="minorEastAsia"/>
          <w:b/>
          <w:bCs/>
          <w:kern w:val="24"/>
        </w:rPr>
        <w:t>Resolucije z dne 13. maja 2003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3963D5" w:rsidRPr="0062617F">
        <w:rPr>
          <w:rFonts w:eastAsiaTheme="minorEastAsia"/>
          <w:kern w:val="24"/>
        </w:rPr>
        <w:t>o sporočilu Komisije o družbeni odgovornosti gospodars</w:t>
      </w:r>
      <w:r w:rsidR="004D2704" w:rsidRPr="0062617F">
        <w:rPr>
          <w:rFonts w:eastAsiaTheme="minorEastAsia"/>
          <w:kern w:val="24"/>
        </w:rPr>
        <w:t>kih družb: prispevek podjetij k trajnostnem razvoju</w:t>
      </w:r>
      <w:r w:rsidR="001804F1">
        <w:rPr>
          <w:rFonts w:eastAsiaTheme="minorEastAsia"/>
          <w:kern w:val="24"/>
        </w:rPr>
        <w:t xml:space="preserve"> </w:t>
      </w:r>
      <w:r w:rsidR="004D2704" w:rsidRPr="0062617F">
        <w:rPr>
          <w:rFonts w:eastAsiaTheme="minorEastAsia"/>
          <w:kern w:val="24"/>
        </w:rPr>
        <w:t xml:space="preserve">in </w:t>
      </w:r>
      <w:r w:rsidR="003963D5" w:rsidRPr="00510C85">
        <w:rPr>
          <w:rFonts w:eastAsiaTheme="minorEastAsia"/>
          <w:b/>
          <w:bCs/>
          <w:kern w:val="24"/>
        </w:rPr>
        <w:t>Resolucije z dne 13. marca 2007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3963D5" w:rsidRPr="0062617F">
        <w:rPr>
          <w:rFonts w:eastAsiaTheme="minorEastAsia"/>
          <w:kern w:val="24"/>
        </w:rPr>
        <w:t>o družbeni odgovorno</w:t>
      </w:r>
      <w:r w:rsidR="004D2704" w:rsidRPr="0062617F">
        <w:rPr>
          <w:rFonts w:eastAsiaTheme="minorEastAsia"/>
          <w:kern w:val="24"/>
        </w:rPr>
        <w:t>sti podjetij: novo partnerstvo.</w:t>
      </w:r>
    </w:p>
    <w:p w:rsidR="004D2704" w:rsidRPr="0062617F" w:rsidRDefault="004D2704" w:rsidP="00CB2161">
      <w:pPr>
        <w:pStyle w:val="Navadensplet"/>
        <w:spacing w:before="0" w:beforeAutospacing="0" w:after="0" w:afterAutospacing="0"/>
        <w:jc w:val="both"/>
      </w:pPr>
    </w:p>
    <w:p w:rsidR="000E31BA" w:rsidRDefault="000E31B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Vodilne pobude strategije Evropa 2020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3963D5" w:rsidRDefault="003963D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Na 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družbeno odgovornost podjetij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se sklicujejo številne </w:t>
      </w:r>
      <w:r w:rsidRPr="00510C8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vodilne pobude strategije Evropa 2020</w:t>
      </w:r>
      <w:r w:rsidR="004D2704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npr</w:t>
      </w:r>
      <w:r w:rsidR="000E31B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  <w:r w:rsidR="004D2704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: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Celostna industrijska politika za dobo globalizacije</w:t>
      </w:r>
      <w:r w:rsidR="000E31BA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COM(2010)614,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Evropska platforma proti revščini in socialni izključenosti</w:t>
      </w:r>
      <w:r w:rsidR="000E31BA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COM(2010)758,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Program za nova znanja in spretnosti ter delovna mesta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, COM(2010)</w:t>
      </w:r>
      <w:r w:rsidR="000E31BA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682,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Mladi in mobilnost</w:t>
      </w:r>
      <w:r w:rsidR="000E31BA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, COM(2010)477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ter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Akt za enotni trg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COM(2011)206. 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62C" w:rsidRDefault="0007162C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Poleg tega je cilj </w:t>
      </w:r>
      <w:r w:rsidRPr="006261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Unije inovacij </w:t>
      </w:r>
      <w:r w:rsidRPr="006261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(COM(2010)546) okrepiti zmogljivost podjetij pri reševanju družbenih sprememb z inovacijami; prispevek podjetij je osrednjega pomena pri doseganju ciljev vodilne pobude „</w:t>
      </w:r>
      <w:r w:rsidRPr="006261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Evropa, gospodarna z viri</w:t>
      </w:r>
      <w:r w:rsidRPr="006261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“ (COM(2011)21 in COM(2011)571).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08" w:rsidRDefault="00F93108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Prenovljena strategija 2011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D5" w:rsidRPr="0062617F" w:rsidRDefault="003963D5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Komisija EU</w:t>
      </w:r>
      <w:r w:rsidR="001804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je imela p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ionirsko vlogo pri razvoju javnih politik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spodbujanja 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družbene odgovornosti gospodarskih družb </w:t>
      </w:r>
      <w:r w:rsidR="000E31B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(prostovoljni pristop)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 Temeljno spodbudo sta dala Zelena knjiga</w:t>
      </w:r>
      <w:r w:rsidR="009C15ED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iz leta 2001 in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ustanovitve Foruma evropskih interesnih skupin za družbeno odgovornost podjetij. 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Leta 2006 je Komisija objavila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novo politiko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v središču katere je bila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močna podpora pobudi podjetij 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z naslovom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Evropska zveza z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a družbeno odgovornost podjetij. Predstavljeno je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6B078B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osem pre</w:t>
      </w:r>
      <w:r w:rsidR="00A00F27" w:rsidRPr="006B078B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dnostnih področij delovanja EU</w:t>
      </w:r>
      <w:r w:rsidR="006B078B">
        <w:rPr>
          <w:rFonts w:ascii="Times New Roman" w:eastAsiaTheme="minorEastAsia" w:hAnsi="Times New Roman" w:cs="Times New Roman"/>
          <w:kern w:val="24"/>
          <w:sz w:val="24"/>
          <w:szCs w:val="24"/>
        </w:rPr>
        <w:t>,</w:t>
      </w:r>
      <w:r w:rsidR="00A00F27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in sicer: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ozaveščanje</w:t>
      </w:r>
      <w:r w:rsidR="00A00F27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in izmenjava najboljših praks,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</w:t>
      </w:r>
      <w:r w:rsidR="00A00F27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dpora pobudam interesnih skupin,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so</w:t>
      </w:r>
      <w:r w:rsidR="00A00F27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delovanje z državami članicami,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obveščanje </w:t>
      </w:r>
      <w:r w:rsidR="00A00F27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potrošnikov in transparentnost, raziskave; izobraževanje,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mala in srednja podjetja ter mednarodna razsežnost </w:t>
      </w:r>
      <w:r w:rsidR="00EC5A5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družbene odgovornosti podjetij.</w:t>
      </w:r>
    </w:p>
    <w:p w:rsidR="003963D5" w:rsidRDefault="00EB7B0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Prenovljena strategija 2011 ima </w:t>
      </w:r>
      <w:r w:rsidRPr="006B078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novo opredelitev družbene odgovornosti podjetij kot „odgovornosti podjetij za njihove učinke na družbo“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  <w:r w:rsidR="00F93108" w:rsidRPr="0062617F">
        <w:rPr>
          <w:rFonts w:ascii="Times New Roman" w:hAnsi="Times New Roman" w:cs="Times New Roman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Pogoj za prevzemanje te odgovornosti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je spoštovanje veljavne zakonodaje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in kolektivnih p</w:t>
      </w:r>
      <w:r w:rsidR="00A00F27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ogodb med socialnimi partnerji.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Podjetja bi morala imeti za dosledno izpolnjevanje družbene odgovornosti vzpostavljen</w:t>
      </w:r>
      <w:r w:rsidR="00A00F27" w:rsidRPr="0062617F">
        <w:rPr>
          <w:rFonts w:ascii="Times New Roman" w:hAnsi="Times New Roman" w:cs="Times New Roman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postopek za vključevanje socialnih, okoljskih in etičnih vprašanj ter vprašanj človekovih pravic in potrošniških vprašanj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v svoje poslovanje in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osrednjo strategijo v tesnem sodelovanju z interesnimi skupinami</w:t>
      </w:r>
      <w:r w:rsidR="00CB2161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E2" w:rsidRDefault="00411CE2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Evropski parlament o družbeni odgovornosti podjetij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411CE2" w:rsidRDefault="00411CE2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Evropski parlament (Resolucija CSR 2013)</w:t>
      </w:r>
      <w:r w:rsidR="00DF46DF" w:rsidRPr="0062617F">
        <w:rPr>
          <w:rStyle w:val="Sprotnaopomba-sklic"/>
          <w:rFonts w:ascii="Times New Roman" w:eastAsiaTheme="minorEastAsia" w:hAnsi="Times New Roman" w:cs="Times New Roman"/>
          <w:bCs/>
          <w:kern w:val="24"/>
          <w:sz w:val="24"/>
          <w:szCs w:val="24"/>
        </w:rPr>
        <w:footnoteReference w:id="2"/>
      </w:r>
      <w:r w:rsidRPr="0062617F">
        <w:rPr>
          <w:rFonts w:ascii="Times New Roman" w:hAnsi="Times New Roman" w:cs="Times New Roman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poudarja</w:t>
      </w:r>
      <w:r w:rsidR="00EC6D75">
        <w:rPr>
          <w:rFonts w:ascii="Times New Roman" w:eastAsiaTheme="minorEastAsia" w:hAnsi="Times New Roman" w:cs="Times New Roman"/>
          <w:kern w:val="24"/>
          <w:sz w:val="24"/>
          <w:szCs w:val="24"/>
        </w:rPr>
        <w:t>,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da sedanja svetovna gospodarska kriza izvira iz temeljnih napak, ki so povezane s preglednostjo, odgovornostjo, pristojnostjo in kratkoročnim razmišljanjem. Zato odločno zagovarja družbeno odgovornost gospodarskih družb </w:t>
      </w:r>
      <w:r w:rsidRPr="0062617F">
        <w:rPr>
          <w:rFonts w:ascii="Times New Roman" w:hAnsi="Times New Roman" w:cs="Times New Roman"/>
          <w:sz w:val="24"/>
          <w:szCs w:val="24"/>
        </w:rPr>
        <w:t xml:space="preserve">in 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je mnenja, da lahko družbena odgovornost gospodarskih družb znatno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prispeva k povrnitvi izgubljenega zaupanja, ki je potrebno za </w:t>
      </w:r>
      <w:r w:rsidRPr="00EC6D7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trajnostno okrevanje gospodarstva</w:t>
      </w:r>
      <w:r w:rsidRPr="00EC6D75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in lahko ublaži socialne posledice gospodarske krize.</w:t>
      </w:r>
    </w:p>
    <w:p w:rsidR="00CB2161" w:rsidRPr="00EC6D75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</w:p>
    <w:p w:rsidR="00411CE2" w:rsidRDefault="00411CE2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Evropski parlament tudi meni, da je za vse koristno, kadar podjetja prevzamejo odgovornost za družbo, okolje in zaposlene, in da to omogoča bolj trdno podlago za zaupanje, ki je potrebn</w:t>
      </w:r>
      <w:r w:rsidR="00EC6D75">
        <w:rPr>
          <w:rFonts w:ascii="Times New Roman" w:eastAsiaTheme="minorEastAsia" w:hAnsi="Times New Roman" w:cs="Times New Roman"/>
          <w:kern w:val="24"/>
          <w:sz w:val="24"/>
          <w:szCs w:val="24"/>
        </w:rPr>
        <w:t>o za gospodarski uspeh.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EC6D75">
        <w:rPr>
          <w:rFonts w:ascii="Times New Roman" w:eastAsiaTheme="minorEastAsia" w:hAnsi="Times New Roman" w:cs="Times New Roman"/>
          <w:kern w:val="24"/>
          <w:sz w:val="24"/>
          <w:szCs w:val="24"/>
        </w:rPr>
        <w:t>M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eni tudi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da je vključitev družbene odgovornosti gospodarskih družb v trajnostno strategijo podjetij </w:t>
      </w:r>
      <w:r w:rsidRPr="00EC6D7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 interesu</w:t>
      </w:r>
      <w:r w:rsidR="00F93108" w:rsidRPr="00EC6D7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podjetij in družbe kot celote</w:t>
      </w:r>
      <w:r w:rsidR="00F93108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CE2" w:rsidRDefault="00411CE2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Evropski parlament priporoča državam članicam in Evropski unij naj spodbujajo izvajanje </w:t>
      </w:r>
      <w:r w:rsidRPr="00EC6D7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dobre prakse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družbene odgovornosti pri vseh podjetjih, ne glede na to, kje ta opravljajo svoje dejavnosti, ter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naj pospešujejo širjenje zgledov iz prakse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, ki izhajajo iz pobud za družbeno odgovornost gospodarskih družb, še posebej pa naj bolje obveš</w:t>
      </w:r>
      <w:r w:rsidR="00EC6D7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čajo o rezultatih takšnih pobud.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Treba je gojiti in širiti kulturo družbene odgovornosti gospodarskih družb, in sicer z </w:t>
      </w:r>
      <w:r w:rsidRPr="00EC6D7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izobraževanjem in usposabljanjem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tako v okviru podjetij kot tudi višjega in univerzitetnega izobraževanja na področjih, ki</w:t>
      </w:r>
      <w:r w:rsidR="00EC6D7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obravnavajo predvsem javno upravo.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411CE2" w:rsidRPr="00EC6D75" w:rsidRDefault="00411CE2" w:rsidP="00CB2161">
      <w:pPr>
        <w:pStyle w:val="Navadensplet"/>
        <w:spacing w:before="0" w:beforeAutospacing="0" w:after="0" w:afterAutospacing="0"/>
        <w:jc w:val="both"/>
        <w:rPr>
          <w:b/>
        </w:rPr>
      </w:pPr>
      <w:r w:rsidRPr="0062617F">
        <w:rPr>
          <w:rFonts w:eastAsiaTheme="minorEastAsia"/>
          <w:kern w:val="24"/>
        </w:rPr>
        <w:lastRenderedPageBreak/>
        <w:t xml:space="preserve">Ustrezno </w:t>
      </w:r>
      <w:r w:rsidRPr="0062617F">
        <w:rPr>
          <w:rFonts w:eastAsiaTheme="minorEastAsia"/>
          <w:bCs/>
          <w:kern w:val="24"/>
        </w:rPr>
        <w:t xml:space="preserve">upravljanje družb </w:t>
      </w:r>
      <w:r w:rsidRPr="0062617F">
        <w:rPr>
          <w:rFonts w:eastAsiaTheme="minorEastAsia"/>
          <w:kern w:val="24"/>
        </w:rPr>
        <w:t>ključni dejavnik družbene odgovornosti gospodarskih družb</w:t>
      </w:r>
      <w:r w:rsidRPr="0062617F">
        <w:t xml:space="preserve"> </w:t>
      </w:r>
      <w:r w:rsidR="00EC6D75">
        <w:rPr>
          <w:rFonts w:eastAsiaTheme="minorEastAsia"/>
          <w:bCs/>
          <w:kern w:val="24"/>
        </w:rPr>
        <w:t>glede</w:t>
      </w:r>
      <w:r w:rsidRPr="0062617F">
        <w:rPr>
          <w:rFonts w:eastAsiaTheme="minorEastAsia"/>
          <w:bCs/>
          <w:kern w:val="24"/>
        </w:rPr>
        <w:t xml:space="preserve"> odnos</w:t>
      </w:r>
      <w:r w:rsidR="00EC6D75">
        <w:rPr>
          <w:rFonts w:eastAsiaTheme="minorEastAsia"/>
          <w:bCs/>
          <w:kern w:val="24"/>
        </w:rPr>
        <w:t>a</w:t>
      </w:r>
      <w:r w:rsidRPr="0062617F">
        <w:rPr>
          <w:rFonts w:eastAsiaTheme="minorEastAsia"/>
          <w:bCs/>
          <w:kern w:val="24"/>
        </w:rPr>
        <w:t xml:space="preserve"> z javnimi organi in delavci ter njihovimi predstavniškimi združenji in </w:t>
      </w:r>
      <w:r w:rsidR="00EC6D75">
        <w:rPr>
          <w:rFonts w:eastAsiaTheme="minorEastAsia"/>
          <w:bCs/>
          <w:kern w:val="24"/>
        </w:rPr>
        <w:t>glede</w:t>
      </w:r>
      <w:r w:rsidRPr="0062617F">
        <w:rPr>
          <w:rFonts w:eastAsiaTheme="minorEastAsia"/>
          <w:bCs/>
          <w:kern w:val="24"/>
        </w:rPr>
        <w:t xml:space="preserve"> politike podjetij v zvezi z nag</w:t>
      </w:r>
      <w:r w:rsidR="00F93108" w:rsidRPr="0062617F">
        <w:rPr>
          <w:rFonts w:eastAsiaTheme="minorEastAsia"/>
          <w:bCs/>
          <w:kern w:val="24"/>
        </w:rPr>
        <w:t xml:space="preserve">radami, odpravninami in plačami. </w:t>
      </w:r>
      <w:r w:rsidRPr="0062617F">
        <w:rPr>
          <w:rFonts w:eastAsiaTheme="minorEastAsia"/>
          <w:bCs/>
          <w:kern w:val="24"/>
        </w:rPr>
        <w:t>Družbena odgovornost gospodarskih družb se ne sme omejiti na marketinško orodje</w:t>
      </w:r>
      <w:r w:rsidRPr="0062617F">
        <w:rPr>
          <w:rFonts w:eastAsiaTheme="minorEastAsia"/>
          <w:kern w:val="24"/>
        </w:rPr>
        <w:t xml:space="preserve">, temveč se lahko v celotnem obsegu razvije le, če se družbena odgovornost gospodarskih družb </w:t>
      </w:r>
      <w:r w:rsidRPr="00EC6D75">
        <w:rPr>
          <w:rFonts w:eastAsiaTheme="minorEastAsia"/>
          <w:b/>
          <w:bCs/>
          <w:kern w:val="24"/>
        </w:rPr>
        <w:t>vključi v splošno strategijo podjetja.</w:t>
      </w:r>
    </w:p>
    <w:p w:rsidR="00FF55F0" w:rsidRDefault="00FF55F0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EB7B0A" w:rsidRPr="00FF55F0" w:rsidRDefault="00FF55F0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</w:pPr>
      <w:r w:rsidRPr="00FF55F0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 xml:space="preserve">Dejanska uveljavitev družbene odgovornosti podjetij </w:t>
      </w:r>
    </w:p>
    <w:p w:rsidR="00CB2161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460B75" w:rsidRPr="0062617F" w:rsidRDefault="00460B7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Razkorak med deklaracijami in dejansko uveljavitvijo </w:t>
      </w:r>
    </w:p>
    <w:p w:rsidR="00CB2161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460B75" w:rsidRDefault="00460B7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Razkorak med svetovnimi in EU deklaracijami ter priporočili na eni strani in dejansko uveljavitvijo družbene odgovornosti v stvarnem gospodarskem in družbenem življenju je </w:t>
      </w:r>
      <w:r w:rsidRPr="00925E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velik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 Obvezujočih pravil, ki bi zavezovala najodgovornejše voditelje korporacij (člane upravnih odborov in nadzornih svetov ter uprav) v korporacijskih zakonodajah ni. Pretežna ureditev direktorskih dolžnosti je v tem, da</w:t>
      </w:r>
      <w:r w:rsidR="001804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so zavezani delovati v dobro družbe in njenih delničarjev.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460B75" w:rsidRDefault="00460B7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To pa ne</w:t>
      </w:r>
      <w:r w:rsidR="001804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pomeni, da korporacije v celoti ignorirajo priporočila in deklaracije o družbeni odgovornosti. Nasprotno, številne gospodarske družbe v svojih deklariranih strateških usmeritvah ter mnoge tudi v gospodarski praksi </w:t>
      </w:r>
      <w:r w:rsidRPr="00925E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udejanjajo raznovrstne vidike družbene</w:t>
      </w:r>
      <w:r w:rsidR="001804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925E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odgovornosti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. Vendar </w:t>
      </w:r>
      <w:r w:rsidR="00925E5C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je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skupni imenovalec tovrstnih usmerite</w:t>
      </w:r>
      <w:r w:rsidR="00B0122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v in ukrepov velikih korporacij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pretežno dosegati marketinške učinke</w:t>
      </w:r>
      <w:r w:rsidR="00925E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povezane z lepšo predstavo njihovih javnosti o njih, kar ima za posledico načrtovane profitne učinke. Družbena odgovornost ostaja </w:t>
      </w:r>
      <w:r w:rsidRPr="00925E5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prostovoljni koncept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ki se napaja</w:t>
      </w:r>
      <w:r w:rsidR="001804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predvsem s profitnimi motivi, pričakovanimi z izgradnjo javne podobe oziroma </w:t>
      </w:r>
      <w:r w:rsidR="00925E5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ugleda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podjetja pri potencialnih potrošnikih oz. partnerjih, poslovnih strankah in drugih d</w:t>
      </w:r>
      <w:r w:rsidR="00DE127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é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ležnikih.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EB7B0A" w:rsidRDefault="00EB7B0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Vključevanje družbene odgovornosti v</w:t>
      </w:r>
      <w:r w:rsidR="001804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strategije podjetij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A00F27" w:rsidRDefault="00056079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62617F">
        <w:rPr>
          <w:rFonts w:eastAsiaTheme="minorEastAsia"/>
          <w:bCs/>
          <w:kern w:val="24"/>
        </w:rPr>
        <w:t xml:space="preserve">Gospodarske družbe naj bi družbeno odgovornost izvajale kot </w:t>
      </w:r>
      <w:r w:rsidRPr="00BC2E85">
        <w:rPr>
          <w:rFonts w:eastAsiaTheme="minorEastAsia"/>
          <w:b/>
          <w:bCs/>
          <w:kern w:val="24"/>
        </w:rPr>
        <w:t>sestavni del svoje organizacijske kulture in razvojne strategije</w:t>
      </w:r>
      <w:r w:rsidRPr="0062617F">
        <w:rPr>
          <w:rFonts w:eastAsiaTheme="minorEastAsia"/>
          <w:bCs/>
          <w:kern w:val="24"/>
        </w:rPr>
        <w:t xml:space="preserve"> in jo tudi predvidele v tovrstnih dokumentih. Vendar velja, da š</w:t>
      </w:r>
      <w:r w:rsidR="00A00F27" w:rsidRPr="0062617F">
        <w:rPr>
          <w:rFonts w:eastAsiaTheme="minorEastAsia"/>
          <w:bCs/>
          <w:kern w:val="24"/>
        </w:rPr>
        <w:t>tevilna podjetja v EU</w:t>
      </w:r>
      <w:r w:rsidRPr="0062617F">
        <w:rPr>
          <w:rFonts w:eastAsiaTheme="minorEastAsia"/>
          <w:bCs/>
          <w:kern w:val="24"/>
        </w:rPr>
        <w:t>, kljub priporočilom v dokumentih EU,</w:t>
      </w:r>
      <w:r w:rsidR="001804F1">
        <w:rPr>
          <w:rFonts w:eastAsiaTheme="minorEastAsia"/>
          <w:bCs/>
          <w:kern w:val="24"/>
        </w:rPr>
        <w:t xml:space="preserve"> </w:t>
      </w:r>
      <w:r w:rsidR="00A00F27" w:rsidRPr="0062617F">
        <w:rPr>
          <w:rFonts w:eastAsiaTheme="minorEastAsia"/>
          <w:bCs/>
          <w:kern w:val="24"/>
        </w:rPr>
        <w:t xml:space="preserve">še niso v celoti vključila socialnih in okoljskih vprašanj v svoje poslovanje ter osrednjo strategijo. </w:t>
      </w:r>
      <w:r w:rsidRPr="0062617F">
        <w:rPr>
          <w:rFonts w:eastAsiaTheme="minorEastAsia"/>
          <w:bCs/>
          <w:kern w:val="24"/>
        </w:rPr>
        <w:t>To žal velja tudi za številna slovenska podjetja.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</w:pPr>
    </w:p>
    <w:p w:rsidR="00A00F27" w:rsidRPr="0062617F" w:rsidRDefault="00A00F27" w:rsidP="00CB2161">
      <w:pPr>
        <w:pStyle w:val="Navadensplet"/>
        <w:spacing w:before="0" w:beforeAutospacing="0" w:after="0" w:afterAutospacing="0"/>
        <w:jc w:val="both"/>
      </w:pPr>
      <w:r w:rsidRPr="0062617F">
        <w:rPr>
          <w:rFonts w:eastAsiaTheme="minorEastAsia"/>
          <w:kern w:val="24"/>
        </w:rPr>
        <w:t xml:space="preserve">V </w:t>
      </w:r>
      <w:r w:rsidRPr="0062617F">
        <w:rPr>
          <w:rFonts w:eastAsiaTheme="minorEastAsia"/>
          <w:bCs/>
          <w:kern w:val="24"/>
        </w:rPr>
        <w:t>EU le manjše število velikih podjetij redno razkriva nefinančne informacije, kakovost razkritih informacij pa zelo niha</w:t>
      </w:r>
      <w:r w:rsidRPr="0062617F">
        <w:rPr>
          <w:rFonts w:eastAsiaTheme="minorEastAsia"/>
          <w:kern w:val="24"/>
        </w:rPr>
        <w:t>.</w:t>
      </w:r>
      <w:r w:rsidR="00CB2161">
        <w:t xml:space="preserve"> </w:t>
      </w:r>
      <w:r w:rsidRPr="0062617F">
        <w:rPr>
          <w:rFonts w:eastAsiaTheme="minorEastAsia"/>
          <w:bCs/>
          <w:kern w:val="24"/>
        </w:rPr>
        <w:t xml:space="preserve">Nadaljujejo se obtožbe, da manjšina evropskih podjetij še vedno krši človekove pravice in ne spoštuje temeljnih delovnih standardov. </w:t>
      </w:r>
    </w:p>
    <w:p w:rsidR="00EB7B0A" w:rsidRPr="0062617F" w:rsidRDefault="00EB7B0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EB7B0A" w:rsidRDefault="00EB7B0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Vključevanje družbene odgovornosti podjetij v</w:t>
      </w:r>
      <w:r w:rsidR="001804F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strategije držav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27" w:rsidRDefault="00DF46DF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62617F">
        <w:rPr>
          <w:rFonts w:eastAsiaTheme="minorEastAsia"/>
          <w:bCs/>
          <w:kern w:val="24"/>
        </w:rPr>
        <w:t xml:space="preserve">EU in države članice morajo </w:t>
      </w:r>
      <w:r w:rsidRPr="00BC2E85">
        <w:rPr>
          <w:rFonts w:eastAsiaTheme="minorEastAsia"/>
          <w:bCs/>
          <w:kern w:val="24"/>
        </w:rPr>
        <w:t xml:space="preserve">zagotavljati konkretne informacije </w:t>
      </w:r>
      <w:r w:rsidRPr="00BC2E85">
        <w:rPr>
          <w:rFonts w:eastAsiaTheme="minorEastAsia"/>
          <w:kern w:val="24"/>
        </w:rPr>
        <w:t xml:space="preserve">ter izobraževanje in usposabljanje </w:t>
      </w:r>
      <w:r w:rsidRPr="00BC2E85">
        <w:rPr>
          <w:rFonts w:eastAsiaTheme="minorEastAsia"/>
          <w:bCs/>
          <w:kern w:val="24"/>
        </w:rPr>
        <w:t>o družbeni odgovornosti gospodarskih družb.</w:t>
      </w:r>
      <w:r w:rsidR="00BC2E85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 xml:space="preserve">Vendar </w:t>
      </w:r>
      <w:r w:rsidR="00BC2E85" w:rsidRPr="0062617F">
        <w:rPr>
          <w:rFonts w:eastAsiaTheme="minorEastAsia"/>
          <w:bCs/>
          <w:kern w:val="24"/>
        </w:rPr>
        <w:t xml:space="preserve">ima </w:t>
      </w:r>
      <w:r w:rsidRPr="0062617F">
        <w:rPr>
          <w:rFonts w:eastAsiaTheme="minorEastAsia"/>
          <w:bCs/>
          <w:kern w:val="24"/>
        </w:rPr>
        <w:t>l</w:t>
      </w:r>
      <w:r w:rsidR="00A00F27" w:rsidRPr="0062617F">
        <w:rPr>
          <w:rFonts w:eastAsiaTheme="minorEastAsia"/>
          <w:bCs/>
          <w:kern w:val="24"/>
        </w:rPr>
        <w:t>e 15 od 2</w:t>
      </w:r>
      <w:r w:rsidRPr="0062617F">
        <w:rPr>
          <w:rFonts w:eastAsiaTheme="minorEastAsia"/>
          <w:bCs/>
          <w:kern w:val="24"/>
        </w:rPr>
        <w:t>8</w:t>
      </w:r>
      <w:r w:rsidR="00A00F27" w:rsidRPr="0062617F">
        <w:rPr>
          <w:rFonts w:eastAsiaTheme="minorEastAsia"/>
          <w:bCs/>
          <w:kern w:val="24"/>
        </w:rPr>
        <w:t xml:space="preserve">7 držav članic </w:t>
      </w:r>
      <w:r w:rsidR="00EB7B0A" w:rsidRPr="0062617F">
        <w:rPr>
          <w:rFonts w:eastAsiaTheme="minorEastAsia"/>
          <w:bCs/>
          <w:kern w:val="24"/>
        </w:rPr>
        <w:t>EU</w:t>
      </w:r>
      <w:r w:rsidR="00A00F27" w:rsidRPr="0062617F">
        <w:rPr>
          <w:rFonts w:eastAsiaTheme="minorEastAsia"/>
          <w:bCs/>
          <w:kern w:val="24"/>
        </w:rPr>
        <w:t xml:space="preserve"> </w:t>
      </w:r>
      <w:r w:rsidR="00BC2E85">
        <w:rPr>
          <w:rFonts w:eastAsiaTheme="minorEastAsia"/>
          <w:bCs/>
          <w:kern w:val="24"/>
        </w:rPr>
        <w:t xml:space="preserve">sprejete </w:t>
      </w:r>
      <w:r w:rsidR="00A00F27" w:rsidRPr="00BC2E85">
        <w:rPr>
          <w:rFonts w:eastAsiaTheme="minorEastAsia"/>
          <w:b/>
          <w:bCs/>
          <w:kern w:val="24"/>
        </w:rPr>
        <w:t xml:space="preserve">nacionalne okvire politike za spodbujanje </w:t>
      </w:r>
      <w:r w:rsidR="00EB7B0A" w:rsidRPr="00BC2E85">
        <w:rPr>
          <w:rFonts w:eastAsiaTheme="minorEastAsia"/>
          <w:b/>
          <w:bCs/>
          <w:kern w:val="24"/>
        </w:rPr>
        <w:t xml:space="preserve">družbene odgovornosti </w:t>
      </w:r>
      <w:r w:rsidR="00EB7B0A" w:rsidRPr="00CB2161">
        <w:rPr>
          <w:rFonts w:eastAsiaTheme="minorEastAsia"/>
          <w:b/>
          <w:bCs/>
          <w:kern w:val="24"/>
        </w:rPr>
        <w:t>podjetij</w:t>
      </w:r>
      <w:r w:rsidR="00A00F27" w:rsidRPr="00CB2161">
        <w:rPr>
          <w:rFonts w:eastAsiaTheme="minorEastAsia"/>
          <w:b/>
          <w:bCs/>
          <w:kern w:val="24"/>
        </w:rPr>
        <w:t>.</w:t>
      </w:r>
      <w:r w:rsidR="00BC2E85">
        <w:rPr>
          <w:rFonts w:eastAsiaTheme="minorEastAsia"/>
          <w:bCs/>
          <w:kern w:val="24"/>
        </w:rPr>
        <w:t xml:space="preserve"> 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056079" w:rsidRPr="0062617F" w:rsidRDefault="00056079" w:rsidP="00CB2161">
      <w:pPr>
        <w:pStyle w:val="Navadensplet"/>
        <w:spacing w:before="0" w:beforeAutospacing="0" w:after="0" w:afterAutospacing="0"/>
        <w:jc w:val="both"/>
      </w:pPr>
      <w:r w:rsidRPr="0062617F">
        <w:rPr>
          <w:rFonts w:eastAsiaTheme="minorEastAsia"/>
          <w:bCs/>
          <w:kern w:val="24"/>
        </w:rPr>
        <w:t>Žal</w:t>
      </w:r>
      <w:r w:rsidR="001804F1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>je tudi Slovenija med državami, ki še niso sprejele nacionalnega programa ali strategije uveljavljanja</w:t>
      </w:r>
      <w:r w:rsidR="001804F1">
        <w:rPr>
          <w:rFonts w:eastAsiaTheme="minorEastAsia"/>
          <w:bCs/>
          <w:kern w:val="24"/>
        </w:rPr>
        <w:t xml:space="preserve"> </w:t>
      </w:r>
      <w:r w:rsidRPr="0062617F">
        <w:rPr>
          <w:rFonts w:eastAsiaTheme="minorEastAsia"/>
          <w:bCs/>
          <w:kern w:val="24"/>
        </w:rPr>
        <w:t xml:space="preserve">družbene odgovornosti na državni ravni. Je pa na drugi strani v Sloveniji močno razvita civilna družba oz. pobuda na tem področju, ki je večkrat terjala sprejem nacionalnega (državnega) programa </w:t>
      </w:r>
      <w:r w:rsidR="00BC2E85">
        <w:rPr>
          <w:rFonts w:eastAsiaTheme="minorEastAsia"/>
          <w:bCs/>
          <w:kern w:val="24"/>
        </w:rPr>
        <w:t xml:space="preserve">na tem </w:t>
      </w:r>
      <w:r w:rsidRPr="0062617F">
        <w:rPr>
          <w:rFonts w:eastAsiaTheme="minorEastAsia"/>
          <w:bCs/>
          <w:kern w:val="24"/>
        </w:rPr>
        <w:t>področju</w:t>
      </w:r>
      <w:r w:rsidR="00BC2E85">
        <w:rPr>
          <w:rFonts w:eastAsiaTheme="minorEastAsia"/>
          <w:bCs/>
          <w:kern w:val="24"/>
        </w:rPr>
        <w:t>.</w:t>
      </w:r>
      <w:r w:rsidRPr="0062617F">
        <w:rPr>
          <w:rFonts w:eastAsiaTheme="minorEastAsia"/>
          <w:bCs/>
          <w:kern w:val="24"/>
        </w:rPr>
        <w:t xml:space="preserve"> Civilna družba je veliko prispevala k razvoju zavesti </w:t>
      </w:r>
      <w:r w:rsidRPr="0062617F">
        <w:rPr>
          <w:rFonts w:eastAsiaTheme="minorEastAsia"/>
          <w:bCs/>
          <w:kern w:val="24"/>
        </w:rPr>
        <w:lastRenderedPageBreak/>
        <w:t>in vedenja o pomenu družbene odgovornosti v Sloveniji in tud</w:t>
      </w:r>
      <w:r w:rsidR="00BC2E85">
        <w:rPr>
          <w:rFonts w:eastAsiaTheme="minorEastAsia"/>
          <w:bCs/>
          <w:kern w:val="24"/>
        </w:rPr>
        <w:t>i</w:t>
      </w:r>
      <w:r w:rsidRPr="0062617F">
        <w:rPr>
          <w:rFonts w:eastAsiaTheme="minorEastAsia"/>
          <w:bCs/>
          <w:kern w:val="24"/>
        </w:rPr>
        <w:t xml:space="preserve"> sprejela </w:t>
      </w:r>
      <w:r w:rsidRPr="00BC2E85">
        <w:rPr>
          <w:rFonts w:eastAsiaTheme="minorEastAsia"/>
          <w:b/>
          <w:bCs/>
          <w:kern w:val="24"/>
        </w:rPr>
        <w:t>vrsto pobud in stališč</w:t>
      </w:r>
      <w:r w:rsidRPr="0062617F">
        <w:rPr>
          <w:rFonts w:eastAsiaTheme="minorEastAsia"/>
          <w:bCs/>
          <w:kern w:val="24"/>
        </w:rPr>
        <w:t xml:space="preserve"> v tej zvezi.</w:t>
      </w:r>
    </w:p>
    <w:p w:rsidR="00BC2E85" w:rsidRDefault="00BC2E85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EB7B0A" w:rsidRPr="0062617F" w:rsidRDefault="00EB7B0A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  <w:r w:rsidRPr="0062617F">
        <w:rPr>
          <w:rFonts w:eastAsiaTheme="minorEastAsia"/>
          <w:b/>
          <w:bCs/>
          <w:kern w:val="24"/>
        </w:rPr>
        <w:t>Vključevanje družbene odgovornosti podjetij v</w:t>
      </w:r>
      <w:r w:rsidR="001804F1">
        <w:rPr>
          <w:rFonts w:eastAsiaTheme="minorEastAsia"/>
          <w:b/>
          <w:bCs/>
          <w:kern w:val="24"/>
        </w:rPr>
        <w:t xml:space="preserve"> </w:t>
      </w:r>
      <w:r w:rsidRPr="0062617F">
        <w:rPr>
          <w:rFonts w:eastAsiaTheme="minorEastAsia"/>
          <w:b/>
          <w:bCs/>
          <w:kern w:val="24"/>
        </w:rPr>
        <w:t>korporacijsko zakonodajo</w:t>
      </w:r>
    </w:p>
    <w:p w:rsidR="00DF46DF" w:rsidRPr="0062617F" w:rsidRDefault="00DF46DF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EB7B0A" w:rsidRDefault="00EB7B0A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  <w:r w:rsidRPr="0062617F">
        <w:rPr>
          <w:rFonts w:eastAsiaTheme="minorEastAsia"/>
          <w:bCs/>
          <w:kern w:val="24"/>
        </w:rPr>
        <w:t>Korporacijske zakonodaj</w:t>
      </w:r>
      <w:r w:rsidR="006C2C37">
        <w:rPr>
          <w:rFonts w:eastAsiaTheme="minorEastAsia"/>
          <w:bCs/>
          <w:kern w:val="24"/>
        </w:rPr>
        <w:t>e</w:t>
      </w:r>
      <w:r w:rsidRPr="0062617F">
        <w:rPr>
          <w:rFonts w:eastAsiaTheme="minorEastAsia"/>
          <w:bCs/>
          <w:kern w:val="24"/>
        </w:rPr>
        <w:t xml:space="preserve"> v državah EU ne določajo </w:t>
      </w:r>
      <w:r w:rsidR="00DF46DF" w:rsidRPr="0062617F">
        <w:rPr>
          <w:rFonts w:eastAsiaTheme="minorEastAsia"/>
          <w:bCs/>
          <w:kern w:val="24"/>
        </w:rPr>
        <w:t>družbeno odgovornost podjetij</w:t>
      </w:r>
      <w:r w:rsidR="006C2C37">
        <w:rPr>
          <w:rFonts w:eastAsiaTheme="minorEastAsia"/>
          <w:bCs/>
          <w:kern w:val="24"/>
        </w:rPr>
        <w:t xml:space="preserve"> </w:t>
      </w:r>
      <w:r w:rsidR="006C2C37" w:rsidRPr="006C2C37">
        <w:rPr>
          <w:rFonts w:eastAsiaTheme="minorEastAsia"/>
          <w:b/>
          <w:bCs/>
          <w:kern w:val="24"/>
        </w:rPr>
        <w:t>niti kot odgovornost podjetij</w:t>
      </w:r>
      <w:r w:rsidRPr="006C2C37">
        <w:rPr>
          <w:rFonts w:eastAsiaTheme="minorEastAsia"/>
          <w:b/>
          <w:bCs/>
          <w:kern w:val="24"/>
        </w:rPr>
        <w:t xml:space="preserve"> niti kot dolžnosti njihovih direktorjev.</w:t>
      </w:r>
      <w:r w:rsidR="006C2C37">
        <w:rPr>
          <w:rFonts w:eastAsiaTheme="minorEastAsia"/>
          <w:b/>
          <w:bCs/>
          <w:kern w:val="24"/>
        </w:rPr>
        <w:t xml:space="preserve"> </w:t>
      </w:r>
    </w:p>
    <w:p w:rsidR="00CB2161" w:rsidRPr="006C2C37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DF46DF" w:rsidRDefault="00EB7B0A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2617F">
        <w:rPr>
          <w:rFonts w:eastAsiaTheme="minorEastAsia"/>
          <w:bCs/>
          <w:kern w:val="24"/>
        </w:rPr>
        <w:t>Velja pa, da</w:t>
      </w:r>
      <w:r w:rsidR="003963D5" w:rsidRPr="0062617F">
        <w:rPr>
          <w:rFonts w:eastAsiaTheme="minorEastAsia"/>
          <w:bCs/>
          <w:kern w:val="24"/>
        </w:rPr>
        <w:t xml:space="preserve"> </w:t>
      </w:r>
      <w:r w:rsidR="006C2C37" w:rsidRPr="0062617F">
        <w:rPr>
          <w:rFonts w:eastAsiaTheme="minorEastAsia"/>
          <w:bCs/>
          <w:kern w:val="24"/>
        </w:rPr>
        <w:t>sta</w:t>
      </w:r>
      <w:r w:rsidR="006C2C37">
        <w:rPr>
          <w:rFonts w:eastAsiaTheme="minorEastAsia"/>
          <w:bCs/>
          <w:kern w:val="24"/>
        </w:rPr>
        <w:t xml:space="preserve"> za</w:t>
      </w:r>
      <w:r w:rsidR="006C2C37" w:rsidRPr="0062617F">
        <w:rPr>
          <w:rFonts w:eastAsiaTheme="minorEastAsia"/>
          <w:bCs/>
          <w:kern w:val="24"/>
        </w:rPr>
        <w:t xml:space="preserve"> </w:t>
      </w:r>
      <w:r w:rsidR="003963D5" w:rsidRPr="0062617F">
        <w:rPr>
          <w:rFonts w:eastAsiaTheme="minorEastAsia"/>
          <w:bCs/>
          <w:kern w:val="24"/>
        </w:rPr>
        <w:t>nekatere vrste podjetij, kot so zadruge, vzajemne družbe in družinska podjetja, značilni lastniška struktura in struktura upravljanja, ki sta spodbudni za odgovorno ravnanje podjetij.</w:t>
      </w:r>
      <w:r w:rsidR="006C2C37">
        <w:t xml:space="preserve"> </w:t>
      </w:r>
      <w:r w:rsidR="00DF46DF" w:rsidRPr="0062617F">
        <w:rPr>
          <w:rFonts w:eastAsiaTheme="minorEastAsia"/>
          <w:bCs/>
          <w:kern w:val="24"/>
        </w:rPr>
        <w:t>Vendar ko</w:t>
      </w:r>
      <w:r w:rsidR="006C2C37">
        <w:rPr>
          <w:rFonts w:eastAsiaTheme="minorEastAsia"/>
          <w:bCs/>
          <w:kern w:val="24"/>
        </w:rPr>
        <w:t>rporacijska zakonodaja ne ureja</w:t>
      </w:r>
      <w:r w:rsidR="00DF46DF" w:rsidRPr="0062617F">
        <w:rPr>
          <w:rFonts w:eastAsiaTheme="minorEastAsia"/>
          <w:bCs/>
          <w:kern w:val="24"/>
        </w:rPr>
        <w:t xml:space="preserve"> družben</w:t>
      </w:r>
      <w:r w:rsidR="006C2C37">
        <w:rPr>
          <w:rFonts w:eastAsiaTheme="minorEastAsia"/>
          <w:bCs/>
          <w:kern w:val="24"/>
        </w:rPr>
        <w:t>o</w:t>
      </w:r>
      <w:r w:rsidR="00DF46DF" w:rsidRPr="0062617F">
        <w:rPr>
          <w:rFonts w:eastAsiaTheme="minorEastAsia"/>
          <w:bCs/>
          <w:kern w:val="24"/>
        </w:rPr>
        <w:t xml:space="preserve"> odgovornost podjetij kot dolžnost direktorjev!</w:t>
      </w:r>
      <w:r w:rsidR="006C2C37">
        <w:rPr>
          <w:rFonts w:eastAsiaTheme="minorEastAsia"/>
          <w:bCs/>
          <w:kern w:val="24"/>
        </w:rPr>
        <w:t xml:space="preserve"> </w:t>
      </w:r>
      <w:r w:rsidR="00DF46DF" w:rsidRPr="0062617F">
        <w:rPr>
          <w:rFonts w:eastAsiaTheme="minorEastAsia"/>
          <w:bCs/>
          <w:kern w:val="24"/>
        </w:rPr>
        <w:t>E</w:t>
      </w:r>
      <w:r w:rsidR="006C2C37">
        <w:rPr>
          <w:rFonts w:eastAsiaTheme="minorEastAsia"/>
          <w:bCs/>
          <w:kern w:val="24"/>
        </w:rPr>
        <w:t xml:space="preserve">vropski parlament </w:t>
      </w:r>
      <w:r w:rsidR="00DF46DF" w:rsidRPr="0062617F">
        <w:rPr>
          <w:rFonts w:eastAsiaTheme="minorEastAsia"/>
          <w:bCs/>
          <w:kern w:val="24"/>
        </w:rPr>
        <w:t xml:space="preserve">poziva Komisijo in države članice naj uvedejo </w:t>
      </w:r>
      <w:r w:rsidR="00DF46DF" w:rsidRPr="006C2C37">
        <w:rPr>
          <w:rFonts w:eastAsiaTheme="minorEastAsia"/>
          <w:b/>
          <w:bCs/>
          <w:kern w:val="24"/>
        </w:rPr>
        <w:t>pravila upravljanja gospodarskih družb</w:t>
      </w:r>
      <w:r w:rsidR="00DF46DF" w:rsidRPr="0062617F">
        <w:rPr>
          <w:rFonts w:eastAsiaTheme="minorEastAsia"/>
          <w:bCs/>
          <w:kern w:val="24"/>
        </w:rPr>
        <w:t xml:space="preserve">, </w:t>
      </w:r>
      <w:r w:rsidR="00DF46DF" w:rsidRPr="0062617F">
        <w:rPr>
          <w:rFonts w:eastAsiaTheme="minorEastAsia"/>
          <w:kern w:val="24"/>
        </w:rPr>
        <w:t xml:space="preserve">ki bodo odsevala pomen odgovornosti vseh v gospodarski družbi in vzpostavljala tesno povezavo med uspešnostjo na področju človekovih pravic, okoljskem in socialnem področju </w:t>
      </w:r>
      <w:r w:rsidR="00056079" w:rsidRPr="0062617F">
        <w:rPr>
          <w:rFonts w:eastAsiaTheme="minorEastAsia"/>
          <w:kern w:val="24"/>
        </w:rPr>
        <w:t>ter njenimi finančnim rezultati.</w:t>
      </w:r>
    </w:p>
    <w:p w:rsidR="00CB2161" w:rsidRPr="0062617F" w:rsidRDefault="00CB2161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6C62DA" w:rsidRPr="006C2C37" w:rsidRDefault="00056079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62617F">
        <w:rPr>
          <w:rFonts w:eastAsiaTheme="minorEastAsia"/>
          <w:kern w:val="24"/>
        </w:rPr>
        <w:t xml:space="preserve">Slovenija tudi glede korporacijske zakonodaje na področju družbene odgovornosti podjetij </w:t>
      </w:r>
      <w:r w:rsidRPr="006C2C37">
        <w:rPr>
          <w:rFonts w:eastAsiaTheme="minorEastAsia"/>
          <w:b/>
          <w:kern w:val="24"/>
        </w:rPr>
        <w:t>zaostaja</w:t>
      </w:r>
      <w:r w:rsidRPr="0062617F">
        <w:rPr>
          <w:rFonts w:eastAsiaTheme="minorEastAsia"/>
          <w:kern w:val="24"/>
        </w:rPr>
        <w:t xml:space="preserve"> za nekaterimi drugimi državami v EU. Določb zakona, ki ureja delovanje gospodarskih družb</w:t>
      </w:r>
      <w:r w:rsidR="006C2C37">
        <w:rPr>
          <w:rFonts w:eastAsiaTheme="minorEastAsia"/>
          <w:kern w:val="24"/>
        </w:rPr>
        <w:t>,</w:t>
      </w:r>
      <w:r w:rsidRPr="0062617F">
        <w:rPr>
          <w:rFonts w:eastAsiaTheme="minorEastAsia"/>
          <w:kern w:val="24"/>
        </w:rPr>
        <w:t xml:space="preserve"> o korporativni družbeni odgovornosti v Sloveniji </w:t>
      </w:r>
      <w:r w:rsidR="00613F03">
        <w:rPr>
          <w:rFonts w:eastAsiaTheme="minorEastAsia"/>
          <w:kern w:val="24"/>
        </w:rPr>
        <w:t>ni. Podjetja so prepuščena sama</w:t>
      </w:r>
      <w:r w:rsidRPr="0062617F">
        <w:rPr>
          <w:rFonts w:eastAsiaTheme="minorEastAsia"/>
          <w:kern w:val="24"/>
        </w:rPr>
        <w:t xml:space="preserve"> sebi in svoji vesti oz. dobri volji glede upoštevanja </w:t>
      </w:r>
      <w:r w:rsidR="006C62DA" w:rsidRPr="0062617F">
        <w:rPr>
          <w:rFonts w:eastAsiaTheme="minorEastAsia"/>
          <w:kern w:val="24"/>
        </w:rPr>
        <w:t xml:space="preserve">opozoril </w:t>
      </w:r>
      <w:r w:rsidRPr="0062617F">
        <w:rPr>
          <w:rFonts w:eastAsiaTheme="minorEastAsia"/>
          <w:kern w:val="24"/>
        </w:rPr>
        <w:t>in deklaracij mednarodnih institucij; seveda bre</w:t>
      </w:r>
      <w:r w:rsidR="006C62DA" w:rsidRPr="0062617F">
        <w:rPr>
          <w:rFonts w:eastAsiaTheme="minorEastAsia"/>
          <w:kern w:val="24"/>
        </w:rPr>
        <w:t>z sankcij za neupoštevanje tovrstnih usmeritev.</w:t>
      </w:r>
      <w:r w:rsidR="006C2C37">
        <w:rPr>
          <w:rFonts w:eastAsiaTheme="minorEastAsia"/>
          <w:kern w:val="24"/>
        </w:rPr>
        <w:t xml:space="preserve"> </w:t>
      </w:r>
      <w:r w:rsidR="006C62DA" w:rsidRPr="0062617F">
        <w:rPr>
          <w:rFonts w:eastAsiaTheme="minorEastAsia"/>
          <w:kern w:val="24"/>
        </w:rPr>
        <w:t>Izjema so seveda standardna pravila okoljske in delovne zakonodaje, ki jih imajo tudi ostale države EU in sveta.</w:t>
      </w:r>
    </w:p>
    <w:p w:rsidR="00DF46DF" w:rsidRPr="0062617F" w:rsidRDefault="00DF46DF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6C62DA" w:rsidRPr="00FF55F0" w:rsidRDefault="00FF55F0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</w:pPr>
      <w:r w:rsidRPr="00FF55F0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>Kako k</w:t>
      </w:r>
      <w:r w:rsidR="001804F1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 xml:space="preserve"> </w:t>
      </w:r>
      <w:r w:rsidRPr="00FF55F0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>večji družbeni odgovornosti podjetij</w:t>
      </w:r>
    </w:p>
    <w:p w:rsidR="00CB2161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3963D5" w:rsidRDefault="003963D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Globalni izzivi zaradi finančne krize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AF" w:rsidRDefault="003963D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Potrebna so </w:t>
      </w:r>
      <w:r w:rsidRP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nova</w:t>
      </w:r>
      <w:r w:rsidR="006C62DA" w:rsidRP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in učinkovitejša pravila</w:t>
      </w:r>
      <w:r w:rsidR="006C62D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ki bi bolje uveljavila načela družbene odgovornosti podjetij v praksi in ki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bi </w:t>
      </w:r>
      <w:r w:rsidR="006C62D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v večji meri</w:t>
      </w:r>
      <w:r w:rsidR="001804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6C62D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prispevala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k oblikovanju bolj trajnostnih politik, ki bi v resnici upoštevale</w:t>
      </w:r>
      <w:r w:rsidR="00411CE2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socialna in okoljska vprašanja. </w:t>
      </w:r>
    </w:p>
    <w:p w:rsidR="00CB2161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411CE2" w:rsidRPr="0062617F" w:rsidRDefault="00DF46DF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Družbena odgovornost podjetij</w:t>
      </w:r>
      <w:r w:rsidR="001804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mora posegati na </w:t>
      </w:r>
      <w:r w:rsidR="003963D5" w:rsidRP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nova po</w:t>
      </w:r>
      <w:r w:rsidR="00411CE2" w:rsidRP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dročja</w:t>
      </w:r>
      <w:r w:rsidR="00411CE2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kot so</w:t>
      </w:r>
      <w:r w:rsidR="00D4245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</w:t>
      </w:r>
      <w:r w:rsidR="00411CE2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organizacija dela, enake možnosti, socialna vključenost,</w:t>
      </w:r>
      <w:r w:rsidR="001804F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ukrepi proti diskriminaciji ter razvoj vseživlje</w:t>
      </w:r>
      <w:r w:rsidR="00411CE2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njskega učenja in usposabljanja.</w:t>
      </w:r>
      <w:r w:rsidR="00C174A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Družbena odgovornost podjetij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mora</w:t>
      </w:r>
      <w:r w:rsidR="001804F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vključevati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kakovost delovnih mest, enakost pri plačilu in možnostih poklicnega razvoja ter spodbujanje inovativnih projektov,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da bi tako prispevala k pr</w:t>
      </w:r>
      <w:r w:rsidR="00411CE2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ehodu v trajnostno gospodarstvo.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DF46DF" w:rsidRPr="0062617F" w:rsidRDefault="00DF46DF" w:rsidP="00CB2161">
      <w:pPr>
        <w:pStyle w:val="Navadensplet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6C62DA" w:rsidRDefault="006C62D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Predlogi Komisije EU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DF46DF" w:rsidRDefault="003963D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Komisija EU poziva</w:t>
      </w:r>
      <w:r w:rsidR="00DF46DF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(Prenovljena strategija 2011)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države članice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da s sklicevanjem na mednarodno priznana načela in smernice </w:t>
      </w:r>
      <w:r w:rsidR="00DF46DF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družbene odgovornosti podjetij</w:t>
      </w:r>
      <w:r w:rsidR="001804F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ter v sodelovanju s podjetji in drugimi interesnimi </w:t>
      </w:r>
      <w:r w:rsidR="004F1BD9">
        <w:rPr>
          <w:rFonts w:ascii="Times New Roman" w:eastAsiaTheme="minorEastAsia" w:hAnsi="Times New Roman" w:cs="Times New Roman"/>
          <w:kern w:val="24"/>
          <w:sz w:val="24"/>
          <w:szCs w:val="24"/>
        </w:rPr>
        <w:t>skupinami</w:t>
      </w:r>
      <w:r w:rsidR="007566F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razvijejo in posodobijo svoje načrte ali nacionalne seznam</w:t>
      </w:r>
      <w:r w:rsid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e prednostnih nalog spodbujanja družbene odgovornosti podjetij </w:t>
      </w:r>
      <w:r w:rsidRPr="00C174A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v okviru strategije Evropa 2020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</w:t>
      </w:r>
      <w:r w:rsidR="00834369">
        <w:rPr>
          <w:rFonts w:ascii="Times New Roman" w:eastAsiaTheme="minorEastAsia" w:hAnsi="Times New Roman" w:cs="Times New Roman"/>
          <w:kern w:val="24"/>
          <w:sz w:val="24"/>
          <w:szCs w:val="24"/>
        </w:rPr>
        <w:t>Sporočila in p</w:t>
      </w:r>
      <w:r w:rsidR="00A8058F">
        <w:rPr>
          <w:rFonts w:ascii="Times New Roman" w:eastAsiaTheme="minorEastAsia" w:hAnsi="Times New Roman" w:cs="Times New Roman"/>
          <w:kern w:val="24"/>
          <w:sz w:val="24"/>
          <w:szCs w:val="24"/>
        </w:rPr>
        <w:t>redlogi Komisije so predvsem naslednji: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6DF" w:rsidRPr="00E4279F" w:rsidRDefault="003963D5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kern w:val="24"/>
        </w:rPr>
        <w:t xml:space="preserve">EU bi se morala </w:t>
      </w:r>
      <w:r w:rsidRPr="00E4279F">
        <w:rPr>
          <w:rFonts w:eastAsiaTheme="minorEastAsia"/>
          <w:bCs/>
          <w:kern w:val="24"/>
        </w:rPr>
        <w:t xml:space="preserve">v razvoju mednarodnih politik </w:t>
      </w:r>
      <w:r w:rsidR="00C174AF" w:rsidRPr="00E4279F">
        <w:rPr>
          <w:rFonts w:eastAsiaTheme="minorEastAsia"/>
          <w:bCs/>
          <w:kern w:val="24"/>
        </w:rPr>
        <w:t xml:space="preserve">družbene odgovornosti podjetij (angl. CSR </w:t>
      </w:r>
      <w:r w:rsidR="001804F1">
        <w:rPr>
          <w:rFonts w:eastAsiaTheme="minorEastAsia"/>
          <w:bCs/>
          <w:kern w:val="24"/>
        </w:rPr>
        <w:t>–</w:t>
      </w:r>
      <w:r w:rsidR="00C174AF" w:rsidRPr="00E4279F">
        <w:rPr>
          <w:rFonts w:eastAsiaTheme="minorEastAsia"/>
          <w:bCs/>
          <w:kern w:val="24"/>
        </w:rPr>
        <w:t xml:space="preserve"> </w:t>
      </w:r>
      <w:proofErr w:type="spellStart"/>
      <w:r w:rsidR="00C174AF" w:rsidRPr="00E4279F">
        <w:rPr>
          <w:rFonts w:eastAsiaTheme="minorEastAsia"/>
          <w:bCs/>
          <w:kern w:val="24"/>
        </w:rPr>
        <w:t>Corporate</w:t>
      </w:r>
      <w:proofErr w:type="spellEnd"/>
      <w:r w:rsidR="00C174AF" w:rsidRPr="00E4279F">
        <w:rPr>
          <w:rFonts w:eastAsiaTheme="minorEastAsia"/>
          <w:bCs/>
          <w:kern w:val="24"/>
        </w:rPr>
        <w:t xml:space="preserve"> Social </w:t>
      </w:r>
      <w:proofErr w:type="spellStart"/>
      <w:r w:rsidR="00C174AF" w:rsidRPr="00E4279F">
        <w:rPr>
          <w:rFonts w:eastAsiaTheme="minorEastAsia"/>
          <w:bCs/>
          <w:kern w:val="24"/>
        </w:rPr>
        <w:t>Responsibility</w:t>
      </w:r>
      <w:proofErr w:type="spellEnd"/>
      <w:r w:rsidR="00C174AF" w:rsidRPr="00E4279F">
        <w:rPr>
          <w:rFonts w:eastAsiaTheme="minorEastAsia"/>
          <w:kern w:val="24"/>
        </w:rPr>
        <w:t>)</w:t>
      </w:r>
      <w:r w:rsidRPr="00E4279F">
        <w:rPr>
          <w:rFonts w:eastAsiaTheme="minorEastAsia"/>
          <w:kern w:val="24"/>
        </w:rPr>
        <w:t xml:space="preserve"> zavzemati za evropske interese, hkrati pa zagotavljati vključevanje mednarodno priznanih načel in smernic v lastne politike CSR.</w:t>
      </w:r>
    </w:p>
    <w:p w:rsidR="003963D5" w:rsidRPr="00E4279F" w:rsidRDefault="00DF46DF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lastRenderedPageBreak/>
        <w:t>O</w:t>
      </w:r>
      <w:r w:rsidR="003963D5" w:rsidRPr="00E4279F">
        <w:rPr>
          <w:rFonts w:eastAsiaTheme="minorEastAsia"/>
          <w:bCs/>
          <w:kern w:val="24"/>
        </w:rPr>
        <w:t>d vseh evropskih podjetij pričakuje prevzemanje družbene odgovornosti in spoštovanje človekovih pravic, kot je op</w:t>
      </w:r>
      <w:r w:rsidR="006C62DA" w:rsidRPr="00E4279F">
        <w:rPr>
          <w:rFonts w:eastAsiaTheme="minorEastAsia"/>
          <w:bCs/>
          <w:kern w:val="24"/>
        </w:rPr>
        <w:t>redeljeno v vodilnih načelih ZN.</w:t>
      </w:r>
      <w:r w:rsidR="003963D5" w:rsidRPr="00E4279F">
        <w:rPr>
          <w:rFonts w:eastAsiaTheme="minorEastAsia"/>
          <w:bCs/>
          <w:kern w:val="24"/>
        </w:rPr>
        <w:t xml:space="preserve"> </w:t>
      </w:r>
    </w:p>
    <w:p w:rsidR="003963D5" w:rsidRPr="00E4279F" w:rsidRDefault="00DF46DF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>Komisija EU</w:t>
      </w:r>
      <w:r w:rsidR="006C62DA" w:rsidRPr="00E4279F">
        <w:rPr>
          <w:rFonts w:eastAsiaTheme="minorEastAsia"/>
          <w:bCs/>
          <w:kern w:val="24"/>
        </w:rPr>
        <w:t xml:space="preserve"> </w:t>
      </w:r>
      <w:r w:rsidRPr="00E4279F">
        <w:rPr>
          <w:rFonts w:eastAsiaTheme="minorEastAsia"/>
          <w:bCs/>
          <w:kern w:val="24"/>
        </w:rPr>
        <w:t>(Prenovljena strategija 2011) poziva države članice, da do konca leta 2012 pripravijo nacionalne načrte izvajanja vodilnih načel družbene odgovornosti podjetij.</w:t>
      </w:r>
    </w:p>
    <w:p w:rsidR="003963D5" w:rsidRPr="00E4279F" w:rsidRDefault="006C62DA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>Del tega projekta je širitev socialnega podjetništva</w:t>
      </w:r>
      <w:r w:rsidR="003963D5" w:rsidRPr="00E4279F">
        <w:rPr>
          <w:rFonts w:eastAsiaTheme="minorEastAsia"/>
          <w:kern w:val="24"/>
        </w:rPr>
        <w:t>,</w:t>
      </w:r>
      <w:r w:rsidRPr="00E4279F">
        <w:rPr>
          <w:rFonts w:eastAsiaTheme="minorEastAsia"/>
          <w:kern w:val="24"/>
        </w:rPr>
        <w:t xml:space="preserve"> ki naj</w:t>
      </w:r>
      <w:r w:rsidR="003963D5" w:rsidRPr="00E4279F">
        <w:rPr>
          <w:rFonts w:eastAsiaTheme="minorEastAsia"/>
          <w:kern w:val="24"/>
        </w:rPr>
        <w:t xml:space="preserve"> podpira podjetja z izrecno socialnim in/ali okoljskim primarnim namenom, ki dobiček ponovno naložijo v ta namen</w:t>
      </w:r>
      <w:r w:rsidR="00A8058F">
        <w:rPr>
          <w:rFonts w:eastAsiaTheme="minorEastAsia"/>
          <w:kern w:val="24"/>
        </w:rPr>
        <w:t>,</w:t>
      </w:r>
      <w:r w:rsidR="003963D5" w:rsidRPr="00E4279F">
        <w:rPr>
          <w:rFonts w:eastAsiaTheme="minorEastAsia"/>
          <w:kern w:val="24"/>
        </w:rPr>
        <w:t xml:space="preserve"> ter katerih notranja organizacija odraža socialne cilje. V središču pobude za socialno podjetništvo je „ekosistem“, v katerem lahko uspevajo socialno podjetništvo in socialne inovacije ter prispevajo k evropskemu socialnemu tržnemu gospodarstvu.</w:t>
      </w:r>
    </w:p>
    <w:p w:rsidR="003963D5" w:rsidRPr="00E4279F" w:rsidRDefault="003963D5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>Komisija EU</w:t>
      </w:r>
      <w:r w:rsidR="00716266" w:rsidRPr="00E4279F">
        <w:t xml:space="preserve"> </w:t>
      </w:r>
      <w:r w:rsidRPr="00E4279F">
        <w:rPr>
          <w:rFonts w:eastAsiaTheme="minorEastAsia"/>
          <w:bCs/>
          <w:kern w:val="24"/>
        </w:rPr>
        <w:t xml:space="preserve">poziva vodilna evropska podjetja </w:t>
      </w:r>
      <w:r w:rsidRPr="00E4279F">
        <w:rPr>
          <w:rFonts w:eastAsiaTheme="minorEastAsia"/>
          <w:kern w:val="24"/>
        </w:rPr>
        <w:t xml:space="preserve">(vključno s tistimi iz finančnega sektorja), </w:t>
      </w:r>
      <w:r w:rsidRPr="00E4279F">
        <w:rPr>
          <w:rFonts w:eastAsiaTheme="minorEastAsia"/>
          <w:bCs/>
          <w:kern w:val="24"/>
        </w:rPr>
        <w:t>da uveljavijo</w:t>
      </w:r>
      <w:r w:rsidR="001804F1">
        <w:rPr>
          <w:rFonts w:eastAsiaTheme="minorEastAsia"/>
          <w:bCs/>
          <w:kern w:val="24"/>
        </w:rPr>
        <w:t xml:space="preserve"> </w:t>
      </w:r>
      <w:r w:rsidRPr="00E4279F">
        <w:rPr>
          <w:rFonts w:eastAsiaTheme="minorEastAsia"/>
          <w:bCs/>
          <w:kern w:val="24"/>
        </w:rPr>
        <w:t>družbeno odgovorno ravnanje podjetij EU z jasnimi cilji za leti 2015 in 2020 z odprto in odgovorno zavezo v tesnem sodelovanju z javnimi organi in interesnimi skupinami</w:t>
      </w:r>
      <w:r w:rsidR="004F1BD9">
        <w:rPr>
          <w:rFonts w:eastAsiaTheme="minorEastAsia"/>
          <w:bCs/>
          <w:kern w:val="24"/>
        </w:rPr>
        <w:t>.</w:t>
      </w:r>
      <w:r w:rsidRPr="00E4279F">
        <w:rPr>
          <w:rFonts w:eastAsiaTheme="minorEastAsia"/>
          <w:bCs/>
          <w:kern w:val="24"/>
        </w:rPr>
        <w:t xml:space="preserve"> </w:t>
      </w:r>
    </w:p>
    <w:p w:rsidR="003963D5" w:rsidRPr="00E4279F" w:rsidRDefault="00716266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>Komisija</w:t>
      </w:r>
      <w:r w:rsidR="001804F1">
        <w:rPr>
          <w:rFonts w:eastAsiaTheme="minorEastAsia"/>
          <w:bCs/>
          <w:kern w:val="24"/>
        </w:rPr>
        <w:t xml:space="preserve"> </w:t>
      </w:r>
      <w:r w:rsidRPr="00E4279F">
        <w:rPr>
          <w:rFonts w:eastAsiaTheme="minorEastAsia"/>
          <w:bCs/>
          <w:kern w:val="24"/>
        </w:rPr>
        <w:t xml:space="preserve">EU tudi </w:t>
      </w:r>
      <w:r w:rsidR="003963D5" w:rsidRPr="00E4279F">
        <w:rPr>
          <w:rFonts w:eastAsiaTheme="minorEastAsia"/>
          <w:bCs/>
          <w:kern w:val="24"/>
        </w:rPr>
        <w:t>poziva</w:t>
      </w:r>
      <w:r w:rsidR="001804F1">
        <w:rPr>
          <w:rFonts w:eastAsiaTheme="minorEastAsia"/>
          <w:bCs/>
          <w:kern w:val="24"/>
        </w:rPr>
        <w:t xml:space="preserve"> </w:t>
      </w:r>
      <w:r w:rsidR="003963D5" w:rsidRPr="00E4279F">
        <w:rPr>
          <w:rFonts w:eastAsiaTheme="minorEastAsia"/>
          <w:bCs/>
          <w:kern w:val="24"/>
        </w:rPr>
        <w:t>lokalne in regionalne organe k pametni uporabi sredstev strukturnih skladov EU v podporo razvoju CSR</w:t>
      </w:r>
      <w:r w:rsidR="00A8058F">
        <w:rPr>
          <w:rFonts w:eastAsiaTheme="minorEastAsia"/>
          <w:kern w:val="24"/>
        </w:rPr>
        <w:t xml:space="preserve"> </w:t>
      </w:r>
      <w:r w:rsidR="003963D5" w:rsidRPr="00E4279F">
        <w:rPr>
          <w:rFonts w:eastAsiaTheme="minorEastAsia"/>
          <w:kern w:val="24"/>
        </w:rPr>
        <w:t xml:space="preserve">ter </w:t>
      </w:r>
      <w:r w:rsidR="003963D5" w:rsidRPr="00E4279F">
        <w:rPr>
          <w:rFonts w:eastAsiaTheme="minorEastAsia"/>
          <w:bCs/>
          <w:kern w:val="24"/>
        </w:rPr>
        <w:t xml:space="preserve">k sodelovanju s podjetji pri reševanju problemov, kot sta revščina in socialna izključenost. </w:t>
      </w:r>
    </w:p>
    <w:p w:rsidR="003963D5" w:rsidRPr="00E4279F" w:rsidRDefault="003963D5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kern w:val="24"/>
        </w:rPr>
        <w:t xml:space="preserve">Komisija namerava v prihodnjih pobudah politik opredeliti načine za spodbujanje odgovornega ravnanja podjetij za bolj vključujočo in trajnostno gospodarsko oživitev in rast </w:t>
      </w:r>
      <w:r w:rsidRPr="00E4279F">
        <w:rPr>
          <w:rFonts w:eastAsiaTheme="minorEastAsia"/>
          <w:bCs/>
          <w:kern w:val="24"/>
        </w:rPr>
        <w:t>v tretjih državah</w:t>
      </w:r>
      <w:r w:rsidR="00DF0AC7">
        <w:rPr>
          <w:rFonts w:eastAsiaTheme="minorEastAsia"/>
          <w:bCs/>
          <w:kern w:val="24"/>
        </w:rPr>
        <w:t>.</w:t>
      </w:r>
    </w:p>
    <w:p w:rsidR="003963D5" w:rsidRPr="00E4279F" w:rsidRDefault="00716266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 xml:space="preserve">Komisija EU namerava </w:t>
      </w:r>
      <w:r w:rsidR="003963D5" w:rsidRPr="00E4279F">
        <w:rPr>
          <w:rFonts w:eastAsiaTheme="minorEastAsia"/>
          <w:bCs/>
          <w:kern w:val="24"/>
        </w:rPr>
        <w:t>spremljati zaveze evropskih podjetij z več kot 1</w:t>
      </w:r>
      <w:r w:rsidR="00BB43CA">
        <w:rPr>
          <w:rFonts w:eastAsiaTheme="minorEastAsia"/>
          <w:bCs/>
          <w:kern w:val="24"/>
        </w:rPr>
        <w:t>.</w:t>
      </w:r>
      <w:r w:rsidR="003963D5" w:rsidRPr="00E4279F">
        <w:rPr>
          <w:rFonts w:eastAsiaTheme="minorEastAsia"/>
          <w:bCs/>
          <w:kern w:val="24"/>
        </w:rPr>
        <w:t>000 zaposlenimi</w:t>
      </w:r>
      <w:r w:rsidR="003963D5" w:rsidRPr="00E4279F">
        <w:rPr>
          <w:rFonts w:eastAsiaTheme="minorEastAsia"/>
          <w:kern w:val="24"/>
        </w:rPr>
        <w:t xml:space="preserve"> o upoštevanju mednarodno priznanih načel in smernic CSR ter upoštevati usmerjevalni standard ISO 26000 o družbeni odgovornosti pri lastnem delovanju.</w:t>
      </w:r>
    </w:p>
    <w:p w:rsidR="003963D5" w:rsidRPr="00E4279F" w:rsidRDefault="00716266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 xml:space="preserve">Komisija poziva </w:t>
      </w:r>
      <w:r w:rsidR="003963D5" w:rsidRPr="00E4279F">
        <w:rPr>
          <w:rFonts w:eastAsiaTheme="minorEastAsia"/>
          <w:bCs/>
          <w:kern w:val="24"/>
        </w:rPr>
        <w:t>vsa velika evropska podjetja, da se do leta 2014 zavežejo k upoštevanju najmanj enega od naslednjih sklopov načel in smernic pri r</w:t>
      </w:r>
      <w:r w:rsidRPr="00E4279F">
        <w:rPr>
          <w:rFonts w:eastAsiaTheme="minorEastAsia"/>
          <w:bCs/>
          <w:kern w:val="24"/>
        </w:rPr>
        <w:t>azvoju lastnega pristopa k CSR:</w:t>
      </w:r>
      <w:r w:rsidR="001804F1">
        <w:rPr>
          <w:rFonts w:eastAsiaTheme="minorEastAsia"/>
          <w:bCs/>
          <w:kern w:val="24"/>
        </w:rPr>
        <w:t xml:space="preserve"> </w:t>
      </w:r>
      <w:r w:rsidR="003963D5" w:rsidRPr="00E4279F">
        <w:rPr>
          <w:rFonts w:eastAsiaTheme="minorEastAsia"/>
          <w:bCs/>
          <w:kern w:val="24"/>
        </w:rPr>
        <w:t>globalni dogovor ZN,</w:t>
      </w:r>
      <w:r w:rsidR="001804F1">
        <w:rPr>
          <w:rFonts w:eastAsiaTheme="minorEastAsia"/>
          <w:bCs/>
          <w:kern w:val="24"/>
        </w:rPr>
        <w:t xml:space="preserve"> </w:t>
      </w:r>
      <w:r w:rsidR="003963D5" w:rsidRPr="00E4279F">
        <w:rPr>
          <w:rFonts w:eastAsiaTheme="minorEastAsia"/>
          <w:bCs/>
          <w:kern w:val="24"/>
        </w:rPr>
        <w:t>smernice OECD za večnacionalna podjetja ali usmerjevalni standard ISO 26000 o družbeni odgovornosti</w:t>
      </w:r>
      <w:r w:rsidRPr="00E4279F">
        <w:rPr>
          <w:rFonts w:eastAsiaTheme="minorEastAsia"/>
          <w:kern w:val="24"/>
        </w:rPr>
        <w:t>.</w:t>
      </w:r>
    </w:p>
    <w:p w:rsidR="003963D5" w:rsidRPr="00E4279F" w:rsidRDefault="00716266" w:rsidP="00E4279F">
      <w:pPr>
        <w:pStyle w:val="Odstavekseznama"/>
        <w:numPr>
          <w:ilvl w:val="0"/>
          <w:numId w:val="26"/>
        </w:numPr>
        <w:jc w:val="both"/>
      </w:pPr>
      <w:r w:rsidRPr="00E4279F">
        <w:rPr>
          <w:rFonts w:eastAsiaTheme="minorEastAsia"/>
          <w:bCs/>
          <w:kern w:val="24"/>
        </w:rPr>
        <w:t>V</w:t>
      </w:r>
      <w:r w:rsidR="003963D5" w:rsidRPr="00E4279F">
        <w:rPr>
          <w:rFonts w:eastAsiaTheme="minorEastAsia"/>
          <w:bCs/>
          <w:kern w:val="24"/>
        </w:rPr>
        <w:t>sa evropska večnacionalna podjetja</w:t>
      </w:r>
      <w:r w:rsidR="00E4279F" w:rsidRPr="00E4279F">
        <w:rPr>
          <w:rFonts w:eastAsiaTheme="minorEastAsia"/>
          <w:bCs/>
          <w:kern w:val="24"/>
        </w:rPr>
        <w:t xml:space="preserve"> naj</w:t>
      </w:r>
      <w:r w:rsidR="003963D5" w:rsidRPr="00E4279F">
        <w:rPr>
          <w:rFonts w:eastAsiaTheme="minorEastAsia"/>
          <w:bCs/>
          <w:kern w:val="24"/>
        </w:rPr>
        <w:t xml:space="preserve"> se do 2014 zavežejo k spoštovanju tristranske deklaracije ILO o načelih večnacionalnih podjetij in socialne politike.</w:t>
      </w:r>
    </w:p>
    <w:p w:rsidR="00CB2161" w:rsidRDefault="00CB2161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:rsidR="003963D5" w:rsidRDefault="006C62DA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Sklep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D5" w:rsidRDefault="003963D5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Sporočilo EU 2011 opredeljuje družbeno odgovornost podjetij kot </w:t>
      </w:r>
      <w:r w:rsidRPr="00BB43C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„</w:t>
      </w:r>
      <w:r w:rsidRPr="00BB43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odgovornost podjetij za njihove učinke na družbo</w:t>
      </w:r>
      <w:r w:rsidRPr="00BB43CA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“</w:t>
      </w: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: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Podjetja bi morala imeti vzpostavljen postopek za vključevanje socialnih in okoljskih vprašanj v svoje poslovanje in strategijo. 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D5" w:rsidRDefault="00716266" w:rsidP="00CB216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Vendar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korporacijske zakonodaja v državah </w:t>
      </w:r>
      <w:r w:rsidR="006C62D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EU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DF0AC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ne določa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6C62D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korporativne družbene odgovornosti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kot odgovornost</w:t>
      </w:r>
      <w:r w:rsidR="006C62DA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i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podjetij, niti kot dolžnosti njihovih direktorjev.</w:t>
      </w:r>
      <w:r w:rsidR="00BB43C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6C62DA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Tako tudi slovenski 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ZGD-1</w:t>
      </w:r>
      <w:r w:rsidR="006C62DA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še vedno določa nič drugega kot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: </w:t>
      </w:r>
      <w:r w:rsidR="003F2C7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>»</w:t>
      </w:r>
      <w:r w:rsidR="003963D5" w:rsidRPr="006261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Član organa vodenja ali nadzora mora pri opravljanju svojih nalog ravnati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v dobro (gospodarske)</w:t>
      </w:r>
      <w:r w:rsidR="003F2C7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3963D5"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družbe…</w:t>
      </w:r>
      <w:r w:rsidR="00BB43CA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«.</w:t>
      </w:r>
    </w:p>
    <w:p w:rsidR="00CB2161" w:rsidRPr="0062617F" w:rsidRDefault="00CB2161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D5" w:rsidRPr="0062617F" w:rsidRDefault="003963D5" w:rsidP="00CB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Potrebna je dopolnitev zakonodaje </w:t>
      </w:r>
      <w:r w:rsidR="00677E6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z 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opredelitvijo materialne odgovornosti direktorjev tudi za </w:t>
      </w:r>
      <w:r w:rsidRPr="00BB43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zadovoljevanje interesov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BB43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nelastniških d</w:t>
      </w:r>
      <w:r w:rsidR="00123928" w:rsidRPr="0012392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é</w:t>
      </w:r>
      <w:r w:rsidRPr="00BB43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ležnikov</w:t>
      </w:r>
      <w:r w:rsidRPr="0062617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kot so zaposleni, partnerji in širša skupnost in spoštovanje kriterijev trajnostnega razvoja</w:t>
      </w:r>
      <w:r w:rsidR="00AF7CC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3F2C75" w:rsidRPr="0062617F" w:rsidRDefault="003F2C75" w:rsidP="00CB2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E77" w:rsidRPr="00BE0447" w:rsidRDefault="0099308A" w:rsidP="00CB21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Viri: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Resolucija z dne 30. maja 2002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>o Zeleni knjigi Komisije o spodbujanju evropskega okvira za družbeno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 odgovornost gospodarskih družb.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Resolucije Sveta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z dne 6. februarja </w:t>
      </w: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2003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 o </w:t>
      </w: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družbeni </w:t>
      </w:r>
      <w:r w:rsidR="00123928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odgovornosti gospodarskih družb.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Sporočilo Komisije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z naslovom </w:t>
      </w: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„Odgovorna podjetja“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.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lastRenderedPageBreak/>
        <w:t xml:space="preserve">Resolucije z dne 13. maja 2003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o sporočilu Komisije o družbeni odgovornosti gospodarskih družb: prispevek 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podjetij k trajnostnem razvoju.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Resolucije z dne 13. marca 2007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>o družbeni odgovorno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sti podjetij: novo partnerstvo.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Sporočila Komisije z naslovom Obnovljena strategija EU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>za družbeno odgovorn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ost podjetij za obdobje 2011-14.</w:t>
      </w:r>
    </w:p>
    <w:p w:rsidR="008567E8" w:rsidRPr="00BE0447" w:rsidRDefault="008567E8" w:rsidP="00CB2161">
      <w:pPr>
        <w:pStyle w:val="Odstavekseznama"/>
        <w:numPr>
          <w:ilvl w:val="0"/>
          <w:numId w:val="25"/>
        </w:numPr>
        <w:jc w:val="both"/>
        <w:rPr>
          <w:rFonts w:eastAsiaTheme="minorEastAsia"/>
          <w:i/>
          <w:color w:val="000000" w:themeColor="text1"/>
          <w:kern w:val="24"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 xml:space="preserve">Resolucija Evropskega parlamenta z dne 6. februarja 2013 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o družbeni odgovornosti gospodarskih družb: upravičljivo, pregledno in odgovorno poslovno ravnanje in trajnostna rast. </w:t>
      </w:r>
    </w:p>
    <w:p w:rsidR="008A6CD9" w:rsidRPr="00BE0447" w:rsidRDefault="008A6CD9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Celostna industrijska politika za dobo globalizacije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, COM(2010)614.</w:t>
      </w:r>
      <w:r w:rsidRPr="00BE0447">
        <w:rPr>
          <w:rFonts w:eastAsiaTheme="minorEastAsia"/>
          <w:i/>
          <w:color w:val="000000" w:themeColor="text1"/>
          <w:kern w:val="24"/>
          <w:sz w:val="20"/>
          <w:szCs w:val="20"/>
        </w:rPr>
        <w:t xml:space="preserve"> </w:t>
      </w:r>
    </w:p>
    <w:p w:rsidR="008A6CD9" w:rsidRPr="00BE0447" w:rsidRDefault="008A6CD9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Evropska platforma proti revščini in socialni izključenosti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, COM(2010)758.</w:t>
      </w:r>
    </w:p>
    <w:p w:rsidR="008A6CD9" w:rsidRPr="00BE0447" w:rsidRDefault="008A6CD9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Program za nova znanja in spretnosti ter delovna mesta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, COM(2010)682.</w:t>
      </w:r>
    </w:p>
    <w:p w:rsidR="008A6CD9" w:rsidRPr="00BE0447" w:rsidRDefault="008A6CD9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Mladi in mobilnost</w:t>
      </w:r>
      <w:r w:rsidR="00123928">
        <w:rPr>
          <w:rFonts w:eastAsiaTheme="minorEastAsia"/>
          <w:i/>
          <w:color w:val="000000" w:themeColor="text1"/>
          <w:kern w:val="24"/>
          <w:sz w:val="20"/>
          <w:szCs w:val="20"/>
        </w:rPr>
        <w:t>, COM(2010)477.</w:t>
      </w:r>
    </w:p>
    <w:p w:rsidR="008567E8" w:rsidRPr="00833DF3" w:rsidRDefault="008A6CD9" w:rsidP="00CB2161">
      <w:pPr>
        <w:pStyle w:val="Odstavekseznama"/>
        <w:numPr>
          <w:ilvl w:val="0"/>
          <w:numId w:val="25"/>
        </w:numPr>
        <w:jc w:val="both"/>
        <w:rPr>
          <w:i/>
          <w:sz w:val="20"/>
          <w:szCs w:val="20"/>
        </w:rPr>
      </w:pPr>
      <w:r w:rsidRPr="00BE0447">
        <w:rPr>
          <w:rFonts w:eastAsiaTheme="minorEastAsia"/>
          <w:bCs/>
          <w:i/>
          <w:color w:val="000000" w:themeColor="text1"/>
          <w:kern w:val="24"/>
          <w:sz w:val="20"/>
          <w:szCs w:val="20"/>
        </w:rPr>
        <w:t>Akt za enotni trg</w:t>
      </w:r>
      <w:r w:rsidR="00833DF3">
        <w:rPr>
          <w:rFonts w:eastAsiaTheme="minorEastAsia"/>
          <w:i/>
          <w:color w:val="000000" w:themeColor="text1"/>
          <w:kern w:val="24"/>
          <w:sz w:val="20"/>
          <w:szCs w:val="20"/>
        </w:rPr>
        <w:t>, COM(2011)206.</w:t>
      </w:r>
    </w:p>
    <w:sectPr w:rsidR="008567E8" w:rsidRPr="0083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44" w:rsidRDefault="002B5744" w:rsidP="00235D78">
      <w:pPr>
        <w:spacing w:after="0" w:line="240" w:lineRule="auto"/>
      </w:pPr>
      <w:r>
        <w:separator/>
      </w:r>
    </w:p>
  </w:endnote>
  <w:endnote w:type="continuationSeparator" w:id="0">
    <w:p w:rsidR="002B5744" w:rsidRDefault="002B5744" w:rsidP="002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44" w:rsidRDefault="002B5744" w:rsidP="00235D78">
      <w:pPr>
        <w:spacing w:after="0" w:line="240" w:lineRule="auto"/>
      </w:pPr>
      <w:r>
        <w:separator/>
      </w:r>
    </w:p>
  </w:footnote>
  <w:footnote w:type="continuationSeparator" w:id="0">
    <w:p w:rsidR="002B5744" w:rsidRDefault="002B5744" w:rsidP="00235D78">
      <w:pPr>
        <w:spacing w:after="0" w:line="240" w:lineRule="auto"/>
      </w:pPr>
      <w:r>
        <w:continuationSeparator/>
      </w:r>
    </w:p>
  </w:footnote>
  <w:footnote w:id="1">
    <w:p w:rsidR="00C65254" w:rsidRPr="00C65254" w:rsidRDefault="00C65254" w:rsidP="00C65254">
      <w:pPr>
        <w:pStyle w:val="Sprotnaopomba-besedilo"/>
        <w:rPr>
          <w:rFonts w:ascii="Times New Roman" w:hAnsi="Times New Roman" w:cs="Times New Roman"/>
        </w:rPr>
      </w:pPr>
      <w:r w:rsidRPr="00C65254">
        <w:rPr>
          <w:rStyle w:val="Sprotnaopomba-sklic"/>
          <w:rFonts w:ascii="Times New Roman" w:hAnsi="Times New Roman" w:cs="Times New Roman"/>
        </w:rPr>
        <w:footnoteRef/>
      </w:r>
      <w:r w:rsidRPr="00C65254">
        <w:rPr>
          <w:rFonts w:ascii="Times New Roman" w:hAnsi="Times New Roman" w:cs="Times New Roman"/>
        </w:rPr>
        <w:t xml:space="preserve"> Organizacija za ekonomsko sodelovanje in razvoj.</w:t>
      </w:r>
    </w:p>
    <w:p w:rsidR="00C65254" w:rsidRDefault="00C65254">
      <w:pPr>
        <w:pStyle w:val="Sprotnaopomba-besedilo"/>
      </w:pPr>
    </w:p>
  </w:footnote>
  <w:footnote w:id="2">
    <w:p w:rsidR="00DF46DF" w:rsidRPr="00FB1ADE" w:rsidRDefault="00DF46DF" w:rsidP="00DF46DF">
      <w:pPr>
        <w:pStyle w:val="Navadensplet"/>
        <w:spacing w:before="96" w:beforeAutospacing="0" w:after="0" w:afterAutospacing="0"/>
        <w:jc w:val="both"/>
        <w:rPr>
          <w:sz w:val="20"/>
          <w:szCs w:val="20"/>
        </w:rPr>
      </w:pPr>
      <w:r w:rsidRPr="00FB1ADE">
        <w:rPr>
          <w:rStyle w:val="Sprotnaopomba-sklic"/>
          <w:sz w:val="20"/>
          <w:szCs w:val="20"/>
        </w:rPr>
        <w:footnoteRef/>
      </w:r>
      <w:r w:rsidRPr="00FB1ADE">
        <w:rPr>
          <w:sz w:val="20"/>
          <w:szCs w:val="20"/>
        </w:rPr>
        <w:t xml:space="preserve"> </w:t>
      </w:r>
      <w:r w:rsidRPr="00FB1ADE">
        <w:rPr>
          <w:rFonts w:eastAsiaTheme="minorEastAsia"/>
          <w:kern w:val="24"/>
          <w:sz w:val="20"/>
          <w:szCs w:val="20"/>
        </w:rPr>
        <w:t>Resolucija Evropskega parlamenta z dne 25. novembra 2010 o družbeni odgovornosti gospodarskih družb v mednarodnih trgovinskih sporazumih (</w:t>
      </w:r>
      <w:hyperlink r:id="rId1" w:history="1">
        <w:r w:rsidRPr="00FB1ADE">
          <w:rPr>
            <w:rStyle w:val="Hiperpovezava"/>
            <w:rFonts w:eastAsiaTheme="minorEastAsia"/>
            <w:color w:val="auto"/>
            <w:kern w:val="24"/>
            <w:sz w:val="20"/>
            <w:szCs w:val="20"/>
          </w:rPr>
          <w:t>2009/2201(INI)</w:t>
        </w:r>
      </w:hyperlink>
      <w:r w:rsidRPr="00FB1ADE">
        <w:rPr>
          <w:rFonts w:eastAsiaTheme="minorEastAsia"/>
          <w:kern w:val="24"/>
          <w:sz w:val="20"/>
          <w:szCs w:val="20"/>
        </w:rPr>
        <w:t>)</w:t>
      </w:r>
      <w:r w:rsidR="00FB1ADE">
        <w:rPr>
          <w:rFonts w:eastAsiaTheme="minorEastAsia"/>
          <w:kern w:val="24"/>
          <w:sz w:val="20"/>
          <w:szCs w:val="20"/>
        </w:rPr>
        <w:t>.</w:t>
      </w:r>
    </w:p>
    <w:p w:rsidR="00DF46DF" w:rsidRPr="00FB1ADE" w:rsidRDefault="00DF46DF">
      <w:pPr>
        <w:pStyle w:val="Sprotnaopomba-besedil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37"/>
    <w:multiLevelType w:val="hybridMultilevel"/>
    <w:tmpl w:val="07D82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8B1"/>
    <w:multiLevelType w:val="hybridMultilevel"/>
    <w:tmpl w:val="FF74C784"/>
    <w:lvl w:ilvl="0" w:tplc="BE5EC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0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6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E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2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67ABF"/>
    <w:multiLevelType w:val="hybridMultilevel"/>
    <w:tmpl w:val="954C1BE4"/>
    <w:lvl w:ilvl="0" w:tplc="546AE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E1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E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5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C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61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4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EB7226"/>
    <w:multiLevelType w:val="hybridMultilevel"/>
    <w:tmpl w:val="FDD44C3A"/>
    <w:lvl w:ilvl="0" w:tplc="9CE81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815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60F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AA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E1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E4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EF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A4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6D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4D5FB9"/>
    <w:multiLevelType w:val="hybridMultilevel"/>
    <w:tmpl w:val="10CE1152"/>
    <w:lvl w:ilvl="0" w:tplc="F902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26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E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0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2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A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8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C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4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E06E90"/>
    <w:multiLevelType w:val="hybridMultilevel"/>
    <w:tmpl w:val="CDACB46A"/>
    <w:lvl w:ilvl="0" w:tplc="F2EA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8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1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40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8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CC641A"/>
    <w:multiLevelType w:val="hybridMultilevel"/>
    <w:tmpl w:val="EF66ABF8"/>
    <w:lvl w:ilvl="0" w:tplc="F12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A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8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4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A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C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361B5A"/>
    <w:multiLevelType w:val="hybridMultilevel"/>
    <w:tmpl w:val="E6F4E538"/>
    <w:lvl w:ilvl="0" w:tplc="58E8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8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02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A0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05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3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6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860AC6"/>
    <w:multiLevelType w:val="hybridMultilevel"/>
    <w:tmpl w:val="FC6C6734"/>
    <w:lvl w:ilvl="0" w:tplc="96524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E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6C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6A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C0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A7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3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2C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CE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B126B7"/>
    <w:multiLevelType w:val="hybridMultilevel"/>
    <w:tmpl w:val="FE247264"/>
    <w:lvl w:ilvl="0" w:tplc="F1BC4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6ED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80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01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C5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8B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C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0DD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E4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7B5BBB"/>
    <w:multiLevelType w:val="hybridMultilevel"/>
    <w:tmpl w:val="A6802C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1F9B"/>
    <w:multiLevelType w:val="hybridMultilevel"/>
    <w:tmpl w:val="6E5898BE"/>
    <w:lvl w:ilvl="0" w:tplc="44DC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E6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E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8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4A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E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5074DE"/>
    <w:multiLevelType w:val="hybridMultilevel"/>
    <w:tmpl w:val="B7B4E2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E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20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A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5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C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4B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AB411A"/>
    <w:multiLevelType w:val="hybridMultilevel"/>
    <w:tmpl w:val="A968A9DA"/>
    <w:lvl w:ilvl="0" w:tplc="81BA6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62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4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0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9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8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ED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177891"/>
    <w:multiLevelType w:val="hybridMultilevel"/>
    <w:tmpl w:val="5AB2D04E"/>
    <w:lvl w:ilvl="0" w:tplc="F232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E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C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E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0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A64763"/>
    <w:multiLevelType w:val="hybridMultilevel"/>
    <w:tmpl w:val="D6D2CFB8"/>
    <w:lvl w:ilvl="0" w:tplc="825C9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CE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64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0A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AD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46A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06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46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AA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592186"/>
    <w:multiLevelType w:val="hybridMultilevel"/>
    <w:tmpl w:val="B9F8D414"/>
    <w:lvl w:ilvl="0" w:tplc="97947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65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80A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49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2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B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AD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C6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6A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31027D"/>
    <w:multiLevelType w:val="hybridMultilevel"/>
    <w:tmpl w:val="2C74E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75559"/>
    <w:multiLevelType w:val="hybridMultilevel"/>
    <w:tmpl w:val="172AF916"/>
    <w:lvl w:ilvl="0" w:tplc="7AD2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24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6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8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6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487259"/>
    <w:multiLevelType w:val="hybridMultilevel"/>
    <w:tmpl w:val="3C86344A"/>
    <w:lvl w:ilvl="0" w:tplc="523E7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4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A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C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C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60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E3C6D2B"/>
    <w:multiLevelType w:val="hybridMultilevel"/>
    <w:tmpl w:val="9DD6A96C"/>
    <w:lvl w:ilvl="0" w:tplc="00DC3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22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C63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484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E3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21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A8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412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4D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AC26F9"/>
    <w:multiLevelType w:val="hybridMultilevel"/>
    <w:tmpl w:val="CD68B218"/>
    <w:lvl w:ilvl="0" w:tplc="ED0E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A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00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E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2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1D57AB"/>
    <w:multiLevelType w:val="hybridMultilevel"/>
    <w:tmpl w:val="0D0CCE0A"/>
    <w:lvl w:ilvl="0" w:tplc="CB02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4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4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8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41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8632AA"/>
    <w:multiLevelType w:val="hybridMultilevel"/>
    <w:tmpl w:val="B1E6636A"/>
    <w:lvl w:ilvl="0" w:tplc="5450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8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CA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E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E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2C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2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A6444D"/>
    <w:multiLevelType w:val="hybridMultilevel"/>
    <w:tmpl w:val="0930CAF2"/>
    <w:lvl w:ilvl="0" w:tplc="36500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A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4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07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B713B4"/>
    <w:multiLevelType w:val="hybridMultilevel"/>
    <w:tmpl w:val="3CCA6518"/>
    <w:lvl w:ilvl="0" w:tplc="B8A2C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6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0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C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A2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A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5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9"/>
  </w:num>
  <w:num w:numId="5">
    <w:abstractNumId w:val="22"/>
  </w:num>
  <w:num w:numId="6">
    <w:abstractNumId w:val="15"/>
  </w:num>
  <w:num w:numId="7">
    <w:abstractNumId w:val="4"/>
  </w:num>
  <w:num w:numId="8">
    <w:abstractNumId w:val="16"/>
  </w:num>
  <w:num w:numId="9">
    <w:abstractNumId w:val="14"/>
  </w:num>
  <w:num w:numId="10">
    <w:abstractNumId w:val="1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20"/>
  </w:num>
  <w:num w:numId="16">
    <w:abstractNumId w:val="24"/>
  </w:num>
  <w:num w:numId="17">
    <w:abstractNumId w:val="23"/>
  </w:num>
  <w:num w:numId="18">
    <w:abstractNumId w:val="7"/>
  </w:num>
  <w:num w:numId="19">
    <w:abstractNumId w:val="1"/>
  </w:num>
  <w:num w:numId="20">
    <w:abstractNumId w:val="12"/>
  </w:num>
  <w:num w:numId="21">
    <w:abstractNumId w:val="25"/>
  </w:num>
  <w:num w:numId="22">
    <w:abstractNumId w:val="2"/>
  </w:num>
  <w:num w:numId="23">
    <w:abstractNumId w:val="6"/>
  </w:num>
  <w:num w:numId="24">
    <w:abstractNumId w:val="10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7"/>
    <w:rsid w:val="00003453"/>
    <w:rsid w:val="00056079"/>
    <w:rsid w:val="00063EC5"/>
    <w:rsid w:val="0007162C"/>
    <w:rsid w:val="000B075E"/>
    <w:rsid w:val="000C4E77"/>
    <w:rsid w:val="000E31BA"/>
    <w:rsid w:val="000F3BA0"/>
    <w:rsid w:val="00123928"/>
    <w:rsid w:val="00125F21"/>
    <w:rsid w:val="001804F1"/>
    <w:rsid w:val="00190E0F"/>
    <w:rsid w:val="00235D78"/>
    <w:rsid w:val="002B5744"/>
    <w:rsid w:val="002C0654"/>
    <w:rsid w:val="002C4CB7"/>
    <w:rsid w:val="003062F7"/>
    <w:rsid w:val="003963D5"/>
    <w:rsid w:val="003A756D"/>
    <w:rsid w:val="003F2C75"/>
    <w:rsid w:val="00411CE2"/>
    <w:rsid w:val="00423324"/>
    <w:rsid w:val="00460B75"/>
    <w:rsid w:val="004D2704"/>
    <w:rsid w:val="004D7BA8"/>
    <w:rsid w:val="004F1BD9"/>
    <w:rsid w:val="00510C85"/>
    <w:rsid w:val="00546407"/>
    <w:rsid w:val="005D5F65"/>
    <w:rsid w:val="005F6F86"/>
    <w:rsid w:val="00613F03"/>
    <w:rsid w:val="0062617F"/>
    <w:rsid w:val="00645C9A"/>
    <w:rsid w:val="00677E6E"/>
    <w:rsid w:val="00682CE5"/>
    <w:rsid w:val="006866CC"/>
    <w:rsid w:val="006B078B"/>
    <w:rsid w:val="006C2C37"/>
    <w:rsid w:val="006C62DA"/>
    <w:rsid w:val="00716266"/>
    <w:rsid w:val="00723701"/>
    <w:rsid w:val="007446A7"/>
    <w:rsid w:val="007566F4"/>
    <w:rsid w:val="007D1BE6"/>
    <w:rsid w:val="00833DF3"/>
    <w:rsid w:val="00834369"/>
    <w:rsid w:val="008567E8"/>
    <w:rsid w:val="008A6CD9"/>
    <w:rsid w:val="009030DA"/>
    <w:rsid w:val="00925E5C"/>
    <w:rsid w:val="0093054D"/>
    <w:rsid w:val="00931382"/>
    <w:rsid w:val="0099308A"/>
    <w:rsid w:val="009A7B56"/>
    <w:rsid w:val="009C15ED"/>
    <w:rsid w:val="009D1E40"/>
    <w:rsid w:val="00A00F27"/>
    <w:rsid w:val="00A3761E"/>
    <w:rsid w:val="00A8058F"/>
    <w:rsid w:val="00AD397D"/>
    <w:rsid w:val="00AF7CCD"/>
    <w:rsid w:val="00B01226"/>
    <w:rsid w:val="00B36F0E"/>
    <w:rsid w:val="00B76261"/>
    <w:rsid w:val="00B94DDB"/>
    <w:rsid w:val="00BB43CA"/>
    <w:rsid w:val="00BC2E85"/>
    <w:rsid w:val="00BD5AD0"/>
    <w:rsid w:val="00BE0447"/>
    <w:rsid w:val="00C174AF"/>
    <w:rsid w:val="00C65254"/>
    <w:rsid w:val="00CB2161"/>
    <w:rsid w:val="00D01D45"/>
    <w:rsid w:val="00D42452"/>
    <w:rsid w:val="00D84901"/>
    <w:rsid w:val="00DE1272"/>
    <w:rsid w:val="00DF0AC7"/>
    <w:rsid w:val="00DF46DF"/>
    <w:rsid w:val="00E4279F"/>
    <w:rsid w:val="00EB7B0A"/>
    <w:rsid w:val="00EC5A56"/>
    <w:rsid w:val="00EC6D75"/>
    <w:rsid w:val="00F0031B"/>
    <w:rsid w:val="00F90FFA"/>
    <w:rsid w:val="00F93108"/>
    <w:rsid w:val="00FB1ADE"/>
    <w:rsid w:val="00FB5ED9"/>
    <w:rsid w:val="00FC33E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3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6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9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963D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5D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5D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5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3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6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9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963D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5D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5D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6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5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9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7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0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8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0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4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2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1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7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68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rl.europa.eu/oeil/popups/ficheprocedure.do?lang=en&amp;reference=2009/2201(INI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5D79-F132-44D8-8050-AD26D10F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Bohinc, Rado</dc:creator>
  <cp:lastModifiedBy>Mato</cp:lastModifiedBy>
  <cp:revision>26</cp:revision>
  <dcterms:created xsi:type="dcterms:W3CDTF">2015-04-19T12:54:00Z</dcterms:created>
  <dcterms:modified xsi:type="dcterms:W3CDTF">2015-07-03T10:24:00Z</dcterms:modified>
</cp:coreProperties>
</file>