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9" w:rsidRPr="00FD76A9" w:rsidRDefault="00686475" w:rsidP="006145DE">
      <w:pPr>
        <w:jc w:val="center"/>
        <w:rPr>
          <w:szCs w:val="24"/>
        </w:rPr>
      </w:pPr>
      <w:bookmarkStart w:id="0" w:name="_GoBack"/>
      <w:bookmarkEnd w:id="0"/>
      <w:r w:rsidRPr="00FD76A9">
        <w:rPr>
          <w:szCs w:val="24"/>
        </w:rPr>
        <w:t xml:space="preserve">Leja </w:t>
      </w:r>
      <w:r w:rsidR="00FD76A9" w:rsidRPr="00FD76A9">
        <w:rPr>
          <w:szCs w:val="24"/>
        </w:rPr>
        <w:t xml:space="preserve">Drofenik Štibelj </w:t>
      </w:r>
    </w:p>
    <w:p w:rsidR="00FD76A9" w:rsidRDefault="00FD76A9" w:rsidP="006145DE">
      <w:pPr>
        <w:jc w:val="center"/>
        <w:rPr>
          <w:b/>
          <w:sz w:val="32"/>
          <w:szCs w:val="32"/>
        </w:rPr>
      </w:pPr>
    </w:p>
    <w:p w:rsidR="00B712DC" w:rsidRPr="00AF0D78" w:rsidRDefault="00B712DC" w:rsidP="00FD76A9">
      <w:pPr>
        <w:rPr>
          <w:b/>
          <w:sz w:val="32"/>
          <w:szCs w:val="32"/>
        </w:rPr>
      </w:pPr>
      <w:r w:rsidRPr="00AF0D78">
        <w:rPr>
          <w:b/>
          <w:sz w:val="32"/>
          <w:szCs w:val="32"/>
        </w:rPr>
        <w:t>Delimo uspeh</w:t>
      </w:r>
      <w:r w:rsidR="00FD76A9">
        <w:rPr>
          <w:b/>
          <w:sz w:val="32"/>
          <w:szCs w:val="32"/>
        </w:rPr>
        <w:t xml:space="preserve">: </w:t>
      </w:r>
      <w:proofErr w:type="spellStart"/>
      <w:r w:rsidRPr="00AF0D78">
        <w:rPr>
          <w:b/>
          <w:sz w:val="32"/>
          <w:szCs w:val="32"/>
        </w:rPr>
        <w:t>Nuttallov</w:t>
      </w:r>
      <w:proofErr w:type="spellEnd"/>
      <w:r w:rsidRPr="00AF0D78">
        <w:rPr>
          <w:b/>
          <w:sz w:val="32"/>
          <w:szCs w:val="32"/>
        </w:rPr>
        <w:t xml:space="preserve"> pregled </w:t>
      </w:r>
      <w:r w:rsidR="00510CF8" w:rsidRPr="00AF0D78">
        <w:rPr>
          <w:b/>
          <w:sz w:val="32"/>
          <w:szCs w:val="32"/>
        </w:rPr>
        <w:t>delničarstva</w:t>
      </w:r>
      <w:r w:rsidRPr="00AF0D78">
        <w:rPr>
          <w:b/>
          <w:sz w:val="32"/>
          <w:szCs w:val="32"/>
        </w:rPr>
        <w:t xml:space="preserve"> zaposlenih</w:t>
      </w:r>
      <w:r w:rsidR="00203169" w:rsidRPr="00AF0D78">
        <w:rPr>
          <w:b/>
          <w:sz w:val="32"/>
          <w:szCs w:val="32"/>
        </w:rPr>
        <w:t xml:space="preserve"> (1. del)</w:t>
      </w:r>
    </w:p>
    <w:p w:rsidR="00797F88" w:rsidRDefault="00797F88"/>
    <w:p w:rsidR="00FD76A9" w:rsidRPr="00FD76A9" w:rsidRDefault="00B712DC">
      <w:pPr>
        <w:rPr>
          <w:i/>
          <w:sz w:val="28"/>
          <w:szCs w:val="28"/>
        </w:rPr>
      </w:pPr>
      <w:proofErr w:type="spellStart"/>
      <w:r w:rsidRPr="00FD76A9">
        <w:rPr>
          <w:i/>
          <w:sz w:val="28"/>
          <w:szCs w:val="28"/>
        </w:rPr>
        <w:t>Graeme</w:t>
      </w:r>
      <w:proofErr w:type="spellEnd"/>
      <w:r w:rsidRPr="00FD76A9">
        <w:rPr>
          <w:i/>
          <w:sz w:val="28"/>
          <w:szCs w:val="28"/>
        </w:rPr>
        <w:t xml:space="preserve"> </w:t>
      </w:r>
      <w:proofErr w:type="spellStart"/>
      <w:r w:rsidRPr="00FD76A9">
        <w:rPr>
          <w:i/>
          <w:sz w:val="28"/>
          <w:szCs w:val="28"/>
        </w:rPr>
        <w:t>Nuttall</w:t>
      </w:r>
      <w:proofErr w:type="spellEnd"/>
      <w:r w:rsidRPr="00FD76A9">
        <w:rPr>
          <w:i/>
          <w:sz w:val="28"/>
          <w:szCs w:val="28"/>
        </w:rPr>
        <w:t xml:space="preserve"> je julija 2012 izdal odmeven pregled </w:t>
      </w:r>
      <w:r w:rsidR="00510CF8" w:rsidRPr="00FD76A9">
        <w:rPr>
          <w:i/>
          <w:sz w:val="28"/>
          <w:szCs w:val="28"/>
        </w:rPr>
        <w:t>delničarstva</w:t>
      </w:r>
      <w:r w:rsidRPr="00FD76A9">
        <w:rPr>
          <w:i/>
          <w:sz w:val="28"/>
          <w:szCs w:val="28"/>
        </w:rPr>
        <w:t xml:space="preserve"> zaposlenih v Združenem kraljestvu, ki je bil izdelan na podlagi naroči</w:t>
      </w:r>
      <w:r w:rsidR="00253BAD" w:rsidRPr="00FD76A9">
        <w:rPr>
          <w:i/>
          <w:sz w:val="28"/>
          <w:szCs w:val="28"/>
        </w:rPr>
        <w:t>la</w:t>
      </w:r>
      <w:r w:rsidR="006E043E" w:rsidRPr="00FD76A9">
        <w:rPr>
          <w:i/>
          <w:sz w:val="28"/>
          <w:szCs w:val="28"/>
        </w:rPr>
        <w:t xml:space="preserve"> namestnika predsednika vlade. V njem vlado poziva</w:t>
      </w:r>
      <w:r w:rsidR="00253BAD" w:rsidRPr="00FD76A9">
        <w:rPr>
          <w:i/>
          <w:sz w:val="28"/>
          <w:szCs w:val="28"/>
        </w:rPr>
        <w:t xml:space="preserve"> k odpravi treh klj</w:t>
      </w:r>
      <w:r w:rsidR="00510CF8" w:rsidRPr="00FD76A9">
        <w:rPr>
          <w:i/>
          <w:sz w:val="28"/>
          <w:szCs w:val="28"/>
        </w:rPr>
        <w:t>učnih ovir za nadaljnji razvoj delničarstva</w:t>
      </w:r>
      <w:r w:rsidR="00253BAD" w:rsidRPr="00FD76A9">
        <w:rPr>
          <w:i/>
          <w:sz w:val="28"/>
          <w:szCs w:val="28"/>
        </w:rPr>
        <w:t xml:space="preserve"> zaposle</w:t>
      </w:r>
      <w:r w:rsidR="006E043E" w:rsidRPr="00FD76A9">
        <w:rPr>
          <w:i/>
          <w:sz w:val="28"/>
          <w:szCs w:val="28"/>
        </w:rPr>
        <w:t>nih v zasebnem sektorju</w:t>
      </w:r>
      <w:r w:rsidR="00FD76A9" w:rsidRPr="00FD76A9">
        <w:rPr>
          <w:i/>
          <w:sz w:val="28"/>
          <w:szCs w:val="28"/>
        </w:rPr>
        <w:t>.</w:t>
      </w:r>
    </w:p>
    <w:p w:rsidR="00FD76A9" w:rsidRDefault="00FD76A9"/>
    <w:p w:rsidR="006E043E" w:rsidRDefault="00FD76A9">
      <w:r>
        <w:t>To so</w:t>
      </w:r>
      <w:r w:rsidR="00253BAD">
        <w:t xml:space="preserve">: </w:t>
      </w:r>
    </w:p>
    <w:p w:rsidR="006E043E" w:rsidRDefault="006E043E" w:rsidP="006E043E">
      <w:pPr>
        <w:numPr>
          <w:ilvl w:val="0"/>
          <w:numId w:val="2"/>
        </w:numPr>
      </w:pPr>
      <w:r w:rsidRPr="00947EE1">
        <w:rPr>
          <w:b/>
        </w:rPr>
        <w:t xml:space="preserve">Pomanjkanje </w:t>
      </w:r>
      <w:r w:rsidR="00510CF8">
        <w:rPr>
          <w:b/>
        </w:rPr>
        <w:t>pozn</w:t>
      </w:r>
      <w:r w:rsidRPr="00947EE1">
        <w:rPr>
          <w:b/>
        </w:rPr>
        <w:t>a</w:t>
      </w:r>
      <w:r w:rsidR="00510CF8">
        <w:rPr>
          <w:b/>
        </w:rPr>
        <w:t>va</w:t>
      </w:r>
      <w:r w:rsidRPr="00947EE1">
        <w:rPr>
          <w:b/>
        </w:rPr>
        <w:t>nja</w:t>
      </w:r>
      <w:r>
        <w:t xml:space="preserve"> </w:t>
      </w:r>
      <w:r w:rsidR="00510CF8" w:rsidRPr="005E5BD5">
        <w:rPr>
          <w:b/>
        </w:rPr>
        <w:t>koncepta delničarstva</w:t>
      </w:r>
      <w:r w:rsidR="007C3B2B" w:rsidRPr="005E5BD5">
        <w:rPr>
          <w:b/>
        </w:rPr>
        <w:t xml:space="preserve"> zaposlenih</w:t>
      </w:r>
      <w:r w:rsidR="007C3B2B">
        <w:t>. Omenjeni k</w:t>
      </w:r>
      <w:r>
        <w:t xml:space="preserve">oncept nima dovolj široke prepoznavnosti in je zaradi napačnih dojemanj celo ogrožen. Če </w:t>
      </w:r>
      <w:r w:rsidR="007C3B2B">
        <w:t xml:space="preserve">se </w:t>
      </w:r>
      <w:r>
        <w:t xml:space="preserve">delodajalci, delavci in svetovalci ne zavedajo pomembnosti in prednosti </w:t>
      </w:r>
      <w:r w:rsidR="00510CF8">
        <w:t>delničarstva</w:t>
      </w:r>
      <w:r>
        <w:t xml:space="preserve"> zaposlenih, to pomeni izgubo priložnosti za </w:t>
      </w:r>
      <w:r w:rsidR="00841D6B">
        <w:t xml:space="preserve">njegovo </w:t>
      </w:r>
      <w:r>
        <w:t>uvedbo</w:t>
      </w:r>
      <w:r w:rsidR="00841D6B">
        <w:t>.</w:t>
      </w:r>
      <w:r>
        <w:t xml:space="preserve">  </w:t>
      </w:r>
    </w:p>
    <w:p w:rsidR="006E043E" w:rsidRDefault="006E043E" w:rsidP="006E043E">
      <w:pPr>
        <w:numPr>
          <w:ilvl w:val="0"/>
          <w:numId w:val="2"/>
        </w:numPr>
      </w:pPr>
      <w:r w:rsidRPr="00947EE1">
        <w:rPr>
          <w:b/>
        </w:rPr>
        <w:t>Pomanjkanje virov</w:t>
      </w:r>
      <w:r>
        <w:t xml:space="preserve">, predvsem finančnih sredstev, s katerimi bi spodbujali </w:t>
      </w:r>
      <w:r w:rsidR="007C3B2B">
        <w:t>delničarstvo</w:t>
      </w:r>
      <w:r>
        <w:t xml:space="preserve"> zaposlenih. </w:t>
      </w:r>
      <w:proofErr w:type="spellStart"/>
      <w:r>
        <w:t>Nuttall</w:t>
      </w:r>
      <w:proofErr w:type="spellEnd"/>
      <w:r>
        <w:t xml:space="preserve"> ugotavlja, da so trenutno dostopn</w:t>
      </w:r>
      <w:r w:rsidR="00947EE1">
        <w:t>e informacije in smernice</w:t>
      </w:r>
      <w:r w:rsidR="001D726D">
        <w:t xml:space="preserve"> o tem</w:t>
      </w:r>
      <w:r w:rsidR="00947EE1">
        <w:t xml:space="preserve">, kako zagotoviti ustrezne vire za uvedbo </w:t>
      </w:r>
      <w:r w:rsidR="00510CF8">
        <w:t>delničarstva</w:t>
      </w:r>
      <w:r w:rsidR="00947EE1">
        <w:t xml:space="preserve"> zaposlenih</w:t>
      </w:r>
      <w:r w:rsidR="0079111E">
        <w:t>,</w:t>
      </w:r>
      <w:r w:rsidR="00947EE1">
        <w:t xml:space="preserve"> zelo pomanjkljive.</w:t>
      </w:r>
    </w:p>
    <w:p w:rsidR="00B712DC" w:rsidRDefault="00947EE1" w:rsidP="006E043E">
      <w:pPr>
        <w:numPr>
          <w:ilvl w:val="0"/>
          <w:numId w:val="2"/>
        </w:numPr>
      </w:pPr>
      <w:r w:rsidRPr="00947EE1">
        <w:rPr>
          <w:b/>
        </w:rPr>
        <w:t>K</w:t>
      </w:r>
      <w:r w:rsidR="00253BAD" w:rsidRPr="00947EE1">
        <w:rPr>
          <w:b/>
        </w:rPr>
        <w:t xml:space="preserve">ompleksnost </w:t>
      </w:r>
      <w:r w:rsidR="00510CF8">
        <w:rPr>
          <w:b/>
        </w:rPr>
        <w:t>delničarstva</w:t>
      </w:r>
      <w:r w:rsidR="00253BAD" w:rsidRPr="00947EE1">
        <w:rPr>
          <w:b/>
        </w:rPr>
        <w:t xml:space="preserve"> zaposlenih</w:t>
      </w:r>
      <w:r w:rsidR="00253BAD">
        <w:t>.</w:t>
      </w:r>
      <w:r>
        <w:t xml:space="preserve"> </w:t>
      </w:r>
      <w:proofErr w:type="spellStart"/>
      <w:r>
        <w:t>Nuttall</w:t>
      </w:r>
      <w:proofErr w:type="spellEnd"/>
      <w:r>
        <w:t xml:space="preserve"> je v svojem pregledu prišel do zaključka, da je ustanovi</w:t>
      </w:r>
      <w:r w:rsidR="005E5BD5">
        <w:t>tev družbe v last</w:t>
      </w:r>
      <w:r>
        <w:t>i zaposlenih povezana s precejšnjimi zakonskimi, davčnimi in birokratskimi zapleti. Le-ti so včasih le domneva, vendar četudi do njih ne pride, to ni spodbudno za ustanavljanje tovrstnih družb.</w:t>
      </w:r>
    </w:p>
    <w:p w:rsidR="00947EE1" w:rsidRDefault="00947EE1" w:rsidP="00947EE1"/>
    <w:p w:rsidR="007B64EB" w:rsidRDefault="00947EE1" w:rsidP="00947EE1">
      <w:r>
        <w:t>Celotno poročilo</w:t>
      </w:r>
      <w:r w:rsidR="007B64EB">
        <w:t>, ki je</w:t>
      </w:r>
      <w:r>
        <w:t xml:space="preserve"> </w:t>
      </w:r>
      <w:r w:rsidR="007B64EB">
        <w:t xml:space="preserve">razdeljeno na pet večjih sklopov, </w:t>
      </w:r>
      <w:r>
        <w:t>vsebuje 28 priporočil, ki se nanašajo predvsem na odpravo zgoraj navedenih ključnih ovir</w:t>
      </w:r>
      <w:r w:rsidR="007B64EB">
        <w:t xml:space="preserve"> za razvoj </w:t>
      </w:r>
      <w:r w:rsidR="00510CF8">
        <w:t>delničarstva</w:t>
      </w:r>
      <w:r w:rsidR="007B64EB">
        <w:t xml:space="preserve"> zaposlenih. Priporočila so oblikovana kot </w:t>
      </w:r>
      <w:r w:rsidR="007B64EB" w:rsidRPr="00E51311">
        <w:rPr>
          <w:b/>
        </w:rPr>
        <w:t>smernice vladi</w:t>
      </w:r>
      <w:r w:rsidR="0079111E">
        <w:t>,</w:t>
      </w:r>
      <w:r w:rsidR="00C019C8">
        <w:t xml:space="preserve"> kako</w:t>
      </w:r>
      <w:r w:rsidR="007B64EB">
        <w:t xml:space="preserve"> naj deluje v smeri nadaljnjega sodelovanja</w:t>
      </w:r>
      <w:r w:rsidR="008C5BE1">
        <w:t xml:space="preserve"> s predstavniki solas</w:t>
      </w:r>
      <w:r w:rsidR="0079111E">
        <w:t>tniškega in zadružnega sektorja. S</w:t>
      </w:r>
      <w:r w:rsidR="007B64EB">
        <w:t xml:space="preserve"> spodbujanjem </w:t>
      </w:r>
      <w:r w:rsidR="00510CF8">
        <w:t>delničarstva</w:t>
      </w:r>
      <w:r w:rsidR="007B64EB">
        <w:t xml:space="preserve"> zaposlenih kot poslovnega modela, ki že sam po sebi prinaša številne prednosti in koristi za družbo, </w:t>
      </w:r>
      <w:r w:rsidR="0079111E">
        <w:t xml:space="preserve">bo </w:t>
      </w:r>
      <w:r w:rsidR="007B64EB">
        <w:t xml:space="preserve">prišlo do dviga ozaveščenosti glede </w:t>
      </w:r>
      <w:r w:rsidR="00510CF8">
        <w:t>delničarstva</w:t>
      </w:r>
      <w:r w:rsidR="007B64EB">
        <w:t xml:space="preserve"> zaposlenih.</w:t>
      </w:r>
    </w:p>
    <w:p w:rsidR="00765389" w:rsidRDefault="00765389" w:rsidP="00947EE1"/>
    <w:p w:rsidR="00510CF8" w:rsidRPr="00657ACD" w:rsidRDefault="00510CF8">
      <w:pPr>
        <w:rPr>
          <w:b/>
          <w:sz w:val="28"/>
          <w:szCs w:val="28"/>
        </w:rPr>
      </w:pPr>
      <w:r w:rsidRPr="00657ACD">
        <w:rPr>
          <w:b/>
          <w:sz w:val="28"/>
          <w:szCs w:val="28"/>
        </w:rPr>
        <w:t>Kaj je delničarstvo zaposlenih?</w:t>
      </w:r>
    </w:p>
    <w:p w:rsidR="006B4DA3" w:rsidRDefault="006B4DA3" w:rsidP="007578C3"/>
    <w:p w:rsidR="00030E41" w:rsidRDefault="007578C3" w:rsidP="007578C3">
      <w:pPr>
        <w:rPr>
          <w:b/>
        </w:rPr>
      </w:pPr>
      <w:r>
        <w:t xml:space="preserve">Uvodoma </w:t>
      </w:r>
      <w:proofErr w:type="spellStart"/>
      <w:r>
        <w:t>Nuttall</w:t>
      </w:r>
      <w:proofErr w:type="spellEnd"/>
      <w:r>
        <w:t xml:space="preserve"> </w:t>
      </w:r>
      <w:r w:rsidR="00510CF8">
        <w:t xml:space="preserve">osvetli pojem delničarstva zaposlenih, ki ga obravnava v svojem poročilu, in sicer </w:t>
      </w:r>
      <w:r w:rsidR="006145DE">
        <w:t xml:space="preserve">pravi, da </w:t>
      </w:r>
      <w:r w:rsidR="00030E41" w:rsidRPr="00985E07">
        <w:rPr>
          <w:b/>
          <w:i/>
        </w:rPr>
        <w:t>o delničarstvu</w:t>
      </w:r>
      <w:r w:rsidR="005E5BD5" w:rsidRPr="00985E07">
        <w:rPr>
          <w:b/>
          <w:i/>
        </w:rPr>
        <w:t xml:space="preserve"> zaposlenih</w:t>
      </w:r>
      <w:r w:rsidR="00030E41" w:rsidRPr="00985E07">
        <w:rPr>
          <w:b/>
          <w:i/>
        </w:rPr>
        <w:t xml:space="preserve"> govorimo</w:t>
      </w:r>
      <w:r w:rsidR="00D340B3" w:rsidRPr="00985E07">
        <w:rPr>
          <w:b/>
          <w:i/>
        </w:rPr>
        <w:t xml:space="preserve"> takrat</w:t>
      </w:r>
      <w:r w:rsidR="00030E41" w:rsidRPr="00985E07">
        <w:rPr>
          <w:b/>
          <w:i/>
        </w:rPr>
        <w:t>, ko je znaten delež podjetja v lasti vseh zaposlenih v tem podjetju</w:t>
      </w:r>
      <w:r w:rsidR="00030E41">
        <w:t>.</w:t>
      </w:r>
      <w:r w:rsidR="006145DE">
        <w:t xml:space="preserve"> </w:t>
      </w:r>
      <w:r w:rsidR="00030E41">
        <w:t>Kolikšen je ta znaten oziroma kontrolni delež ni točno določenega pravila. Običajno velja, da gre za delež</w:t>
      </w:r>
      <w:r w:rsidR="00985E07">
        <w:t>,</w:t>
      </w:r>
      <w:r w:rsidR="00030E41">
        <w:t xml:space="preserve"> večji od 25 odstotkov, vendar je delavsko delničarstvo mogoče doseči tudi pri nižjih odstotkih. Najpomembnejše za vzpostavitev delničarstva zaposlenih kot poslovnega modela je, da </w:t>
      </w:r>
      <w:r w:rsidR="006145DE">
        <w:t xml:space="preserve">se </w:t>
      </w:r>
      <w:r w:rsidR="00030E41">
        <w:t>d</w:t>
      </w:r>
      <w:r w:rsidR="006145DE">
        <w:t>elničarstvo</w:t>
      </w:r>
      <w:r w:rsidR="00030E41">
        <w:t xml:space="preserve"> zaposlenih </w:t>
      </w:r>
      <w:r w:rsidR="006145DE" w:rsidRPr="00985E07">
        <w:rPr>
          <w:b/>
        </w:rPr>
        <w:t xml:space="preserve">nadgrajuje </w:t>
      </w:r>
      <w:r w:rsidR="00C019C8" w:rsidRPr="00985E07">
        <w:rPr>
          <w:b/>
        </w:rPr>
        <w:t>z</w:t>
      </w:r>
      <w:r w:rsidR="006145DE" w:rsidRPr="00985E07">
        <w:rPr>
          <w:b/>
        </w:rPr>
        <w:t xml:space="preserve"> vključenost</w:t>
      </w:r>
      <w:r w:rsidR="00C019C8" w:rsidRPr="00985E07">
        <w:rPr>
          <w:b/>
        </w:rPr>
        <w:t>jo</w:t>
      </w:r>
      <w:r w:rsidR="006145DE" w:rsidRPr="00985E07">
        <w:rPr>
          <w:b/>
        </w:rPr>
        <w:t xml:space="preserve"> zaposlenih v delovanje podjetja na vseh ravneh.</w:t>
      </w:r>
    </w:p>
    <w:p w:rsidR="00985E07" w:rsidRDefault="00985E07" w:rsidP="00985E07">
      <w:pPr>
        <w:rPr>
          <w:b/>
        </w:rPr>
      </w:pPr>
    </w:p>
    <w:p w:rsidR="007578C3" w:rsidRDefault="006145DE" w:rsidP="00985E07">
      <w:r>
        <w:t>Nadalje nam pojasni temeljne oblike delničarstva</w:t>
      </w:r>
      <w:r w:rsidR="007578C3">
        <w:t xml:space="preserve"> zaposlenih:</w:t>
      </w:r>
    </w:p>
    <w:p w:rsidR="007578C3" w:rsidRDefault="006145DE" w:rsidP="00985E07">
      <w:pPr>
        <w:pStyle w:val="Odstavekseznama"/>
        <w:numPr>
          <w:ilvl w:val="0"/>
          <w:numId w:val="9"/>
        </w:numPr>
      </w:pPr>
      <w:r w:rsidRPr="00985E07">
        <w:rPr>
          <w:b/>
        </w:rPr>
        <w:t>neposredno delničarstvo</w:t>
      </w:r>
      <w:r w:rsidR="007578C3" w:rsidRPr="00985E07">
        <w:rPr>
          <w:b/>
        </w:rPr>
        <w:t xml:space="preserve"> zaposlenih</w:t>
      </w:r>
      <w:r w:rsidR="007578C3">
        <w:t xml:space="preserve"> (angl. </w:t>
      </w:r>
      <w:proofErr w:type="spellStart"/>
      <w:r w:rsidR="007578C3" w:rsidRPr="00985E07">
        <w:rPr>
          <w:i/>
        </w:rPr>
        <w:t>direct</w:t>
      </w:r>
      <w:proofErr w:type="spellEnd"/>
      <w:r w:rsidR="007578C3" w:rsidRPr="00985E07">
        <w:rPr>
          <w:i/>
        </w:rPr>
        <w:t xml:space="preserve"> </w:t>
      </w:r>
      <w:proofErr w:type="spellStart"/>
      <w:r w:rsidR="007578C3" w:rsidRPr="00985E07">
        <w:rPr>
          <w:i/>
        </w:rPr>
        <w:t>employee</w:t>
      </w:r>
      <w:proofErr w:type="spellEnd"/>
      <w:r w:rsidR="007578C3" w:rsidRPr="00985E07">
        <w:rPr>
          <w:i/>
        </w:rPr>
        <w:t xml:space="preserve"> </w:t>
      </w:r>
      <w:proofErr w:type="spellStart"/>
      <w:r w:rsidR="007578C3" w:rsidRPr="00985E07">
        <w:rPr>
          <w:i/>
        </w:rPr>
        <w:t>ownership</w:t>
      </w:r>
      <w:proofErr w:type="spellEnd"/>
      <w:r w:rsidR="007578C3">
        <w:t>): predstavlja zaposlene, ki postanejo registrirani individualni delničarji večine delnic v svojem podjetju z uporabo ene ali več davč</w:t>
      </w:r>
      <w:r>
        <w:t>no stimuliranih delniških shem;</w:t>
      </w:r>
    </w:p>
    <w:p w:rsidR="007578C3" w:rsidRDefault="007578C3" w:rsidP="00985E07">
      <w:pPr>
        <w:pStyle w:val="Odstavekseznama"/>
        <w:numPr>
          <w:ilvl w:val="0"/>
          <w:numId w:val="9"/>
        </w:numPr>
      </w:pPr>
      <w:r w:rsidRPr="00985E07">
        <w:rPr>
          <w:b/>
        </w:rPr>
        <w:t xml:space="preserve">posredno </w:t>
      </w:r>
      <w:r w:rsidR="006145DE" w:rsidRPr="00985E07">
        <w:rPr>
          <w:b/>
        </w:rPr>
        <w:t>delničarstvo</w:t>
      </w:r>
      <w:r w:rsidRPr="00985E07">
        <w:rPr>
          <w:b/>
        </w:rPr>
        <w:t xml:space="preserve"> zaposlenih</w:t>
      </w:r>
      <w:r>
        <w:t xml:space="preserve"> (angl. </w:t>
      </w:r>
      <w:proofErr w:type="spellStart"/>
      <w:r w:rsidRPr="00985E07">
        <w:rPr>
          <w:i/>
        </w:rPr>
        <w:t>indirect</w:t>
      </w:r>
      <w:proofErr w:type="spellEnd"/>
      <w:r w:rsidRPr="00985E07">
        <w:rPr>
          <w:i/>
        </w:rPr>
        <w:t xml:space="preserve"> </w:t>
      </w:r>
      <w:proofErr w:type="spellStart"/>
      <w:r w:rsidRPr="00985E07">
        <w:rPr>
          <w:i/>
        </w:rPr>
        <w:t>employee</w:t>
      </w:r>
      <w:proofErr w:type="spellEnd"/>
      <w:r w:rsidRPr="00985E07">
        <w:rPr>
          <w:i/>
        </w:rPr>
        <w:t xml:space="preserve"> </w:t>
      </w:r>
      <w:proofErr w:type="spellStart"/>
      <w:r w:rsidRPr="00985E07">
        <w:rPr>
          <w:i/>
        </w:rPr>
        <w:t>ownership</w:t>
      </w:r>
      <w:proofErr w:type="spellEnd"/>
      <w:r>
        <w:t>): predstavlja delnice, ki se vodijo kolektivno v imenu zaposlenih, običajno s pomočjo</w:t>
      </w:r>
      <w:r w:rsidR="006145DE">
        <w:t xml:space="preserve"> sklada zaposlenih; in</w:t>
      </w:r>
    </w:p>
    <w:p w:rsidR="006145DE" w:rsidRDefault="006145DE" w:rsidP="00985E07">
      <w:pPr>
        <w:pStyle w:val="Odstavekseznama"/>
        <w:numPr>
          <w:ilvl w:val="0"/>
          <w:numId w:val="9"/>
        </w:numPr>
      </w:pPr>
      <w:r w:rsidRPr="00985E07">
        <w:rPr>
          <w:b/>
        </w:rPr>
        <w:lastRenderedPageBreak/>
        <w:t>kombinacija neposrednega in posrednega delničarstva zaposlenih</w:t>
      </w:r>
      <w:r>
        <w:t xml:space="preserve"> (angl. </w:t>
      </w:r>
      <w:proofErr w:type="spellStart"/>
      <w:r w:rsidRPr="00985E07">
        <w:rPr>
          <w:i/>
        </w:rPr>
        <w:t>combined</w:t>
      </w:r>
      <w:proofErr w:type="spellEnd"/>
      <w:r w:rsidRPr="00985E07">
        <w:rPr>
          <w:i/>
        </w:rPr>
        <w:t xml:space="preserve"> </w:t>
      </w:r>
      <w:proofErr w:type="spellStart"/>
      <w:r w:rsidRPr="00985E07">
        <w:rPr>
          <w:i/>
        </w:rPr>
        <w:t>direct</w:t>
      </w:r>
      <w:proofErr w:type="spellEnd"/>
      <w:r w:rsidRPr="00985E07">
        <w:rPr>
          <w:i/>
        </w:rPr>
        <w:t xml:space="preserve"> </w:t>
      </w:r>
      <w:proofErr w:type="spellStart"/>
      <w:r w:rsidRPr="00985E07">
        <w:rPr>
          <w:i/>
        </w:rPr>
        <w:t>and</w:t>
      </w:r>
      <w:proofErr w:type="spellEnd"/>
      <w:r w:rsidRPr="00985E07">
        <w:rPr>
          <w:i/>
        </w:rPr>
        <w:t xml:space="preserve"> </w:t>
      </w:r>
      <w:proofErr w:type="spellStart"/>
      <w:r w:rsidRPr="00985E07">
        <w:rPr>
          <w:i/>
        </w:rPr>
        <w:t>indirect</w:t>
      </w:r>
      <w:proofErr w:type="spellEnd"/>
      <w:r w:rsidRPr="00985E07">
        <w:rPr>
          <w:i/>
        </w:rPr>
        <w:t xml:space="preserve"> </w:t>
      </w:r>
      <w:proofErr w:type="spellStart"/>
      <w:r w:rsidRPr="00985E07">
        <w:rPr>
          <w:i/>
        </w:rPr>
        <w:t>ownership</w:t>
      </w:r>
      <w:proofErr w:type="spellEnd"/>
      <w:r>
        <w:t>): predstavlja kombinacijo neposrednega in posrednega delničarstva zaposlenih.</w:t>
      </w:r>
    </w:p>
    <w:p w:rsidR="006145DE" w:rsidRDefault="006145DE" w:rsidP="00253BAD"/>
    <w:p w:rsidR="006C0166" w:rsidRPr="00657ACD" w:rsidRDefault="006010A0" w:rsidP="006C0166">
      <w:pPr>
        <w:rPr>
          <w:b/>
          <w:sz w:val="28"/>
          <w:szCs w:val="28"/>
        </w:rPr>
      </w:pPr>
      <w:r w:rsidRPr="00657ACD">
        <w:rPr>
          <w:b/>
          <w:sz w:val="28"/>
          <w:szCs w:val="28"/>
        </w:rPr>
        <w:t xml:space="preserve">1. sklop: </w:t>
      </w:r>
      <w:r w:rsidR="006C0166" w:rsidRPr="00657ACD">
        <w:rPr>
          <w:b/>
          <w:sz w:val="28"/>
          <w:szCs w:val="28"/>
        </w:rPr>
        <w:t xml:space="preserve">Prednosti </w:t>
      </w:r>
      <w:r w:rsidRPr="00657ACD">
        <w:rPr>
          <w:b/>
          <w:sz w:val="28"/>
          <w:szCs w:val="28"/>
        </w:rPr>
        <w:t>delničarstva</w:t>
      </w:r>
      <w:r w:rsidR="006C0166" w:rsidRPr="00657ACD">
        <w:rPr>
          <w:b/>
          <w:sz w:val="28"/>
          <w:szCs w:val="28"/>
        </w:rPr>
        <w:t xml:space="preserve"> zaposlenih</w:t>
      </w:r>
    </w:p>
    <w:p w:rsidR="006010A0" w:rsidRPr="00EE149D" w:rsidRDefault="006010A0" w:rsidP="006C0166">
      <w:pPr>
        <w:rPr>
          <w:b/>
        </w:rPr>
      </w:pPr>
    </w:p>
    <w:p w:rsidR="00495AF3" w:rsidRDefault="006010A0" w:rsidP="00495AF3">
      <w:r>
        <w:t>Udeležba zaposlenih v lastništvu podjetja prinaša številne ugodne učinke tako za podjetja kot za zaposlene. V tem sklopu avtor predstavi naslednje pozitivne učinke:</w:t>
      </w:r>
    </w:p>
    <w:p w:rsidR="00F96D35" w:rsidRDefault="00F96D35" w:rsidP="00F96D35">
      <w:pPr>
        <w:rPr>
          <w:b/>
        </w:rPr>
      </w:pPr>
    </w:p>
    <w:p w:rsidR="006010A0" w:rsidRPr="00F96D35" w:rsidRDefault="00F96D35" w:rsidP="00F96D35">
      <w:pPr>
        <w:rPr>
          <w:b/>
          <w:i/>
        </w:rPr>
      </w:pPr>
      <w:r w:rsidRPr="00F96D35">
        <w:rPr>
          <w:b/>
          <w:i/>
        </w:rPr>
        <w:t>I</w:t>
      </w:r>
      <w:r w:rsidR="006010A0" w:rsidRPr="00F96D35">
        <w:rPr>
          <w:b/>
          <w:i/>
        </w:rPr>
        <w:t>zb</w:t>
      </w:r>
      <w:r w:rsidRPr="00F96D35">
        <w:rPr>
          <w:b/>
          <w:i/>
        </w:rPr>
        <w:t>oljšanje poslovne učinkovitosti</w:t>
      </w:r>
    </w:p>
    <w:p w:rsidR="00F96D35" w:rsidRPr="00657ACD" w:rsidRDefault="00F96D35" w:rsidP="00F96D35">
      <w:pPr>
        <w:rPr>
          <w:b/>
        </w:rPr>
      </w:pPr>
    </w:p>
    <w:p w:rsidR="00056332" w:rsidRDefault="00E45713" w:rsidP="00E45713">
      <w:r>
        <w:t>Rezultati številnih do sedaj opravljenih študij (</w:t>
      </w:r>
      <w:proofErr w:type="spellStart"/>
      <w:r>
        <w:t>B</w:t>
      </w:r>
      <w:r w:rsidR="005E5BD5">
        <w:t>ryson</w:t>
      </w:r>
      <w:proofErr w:type="spellEnd"/>
      <w:r w:rsidR="005E5BD5">
        <w:t xml:space="preserve"> in Freeman, 2008; </w:t>
      </w:r>
      <w:proofErr w:type="spellStart"/>
      <w:r w:rsidR="005E5BD5">
        <w:t>Lampel</w:t>
      </w:r>
      <w:proofErr w:type="spellEnd"/>
      <w:r w:rsidR="005E5BD5"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2010; </w:t>
      </w:r>
      <w:proofErr w:type="spellStart"/>
      <w:r>
        <w:t>Matrix</w:t>
      </w:r>
      <w:proofErr w:type="spellEnd"/>
      <w:r>
        <w:t xml:space="preserve"> Evidence, 2010) kažejo, da obstaja povezanost med delničarstvom zaposlenih in večjo produktivnostjo podjetja.</w:t>
      </w:r>
    </w:p>
    <w:p w:rsidR="004A7DB7" w:rsidRDefault="004A7DB7" w:rsidP="0036080A">
      <w:pPr>
        <w:ind w:firstLine="360"/>
      </w:pPr>
      <w:r>
        <w:t xml:space="preserve">Rezultati raziskave (glej Tabela 1) so pokazali, da je bila rast zaposlenosti med letoma 2008 in 2009 v podjetjih z udeležbo zaposlenih v lastništvu (12,91%) znatno večja kot v </w:t>
      </w:r>
      <w:proofErr w:type="spellStart"/>
      <w:r>
        <w:t>konvecionalnih</w:t>
      </w:r>
      <w:proofErr w:type="spellEnd"/>
      <w:r>
        <w:t xml:space="preserve"> podjetjih (2,7%).</w:t>
      </w:r>
    </w:p>
    <w:p w:rsidR="00E45713" w:rsidRDefault="00E45713" w:rsidP="00E45713"/>
    <w:p w:rsidR="00056332" w:rsidRDefault="00056332" w:rsidP="00056332">
      <w:pPr>
        <w:ind w:left="360"/>
      </w:pPr>
      <w:r>
        <w:t>Tabela 1: Ustvarjanje novih delovnih mest v podjetjih, ki so v lasti zaposlenih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56332">
        <w:tc>
          <w:tcPr>
            <w:tcW w:w="3070" w:type="dxa"/>
          </w:tcPr>
          <w:p w:rsidR="00056332" w:rsidRDefault="00056332" w:rsidP="00C95CD2"/>
        </w:tc>
        <w:tc>
          <w:tcPr>
            <w:tcW w:w="3071" w:type="dxa"/>
          </w:tcPr>
          <w:p w:rsidR="00056332" w:rsidRDefault="00056332" w:rsidP="00C95CD2">
            <w:pPr>
              <w:jc w:val="center"/>
              <w:rPr>
                <w:b/>
              </w:rPr>
            </w:pPr>
            <w:r w:rsidRPr="008372BD">
              <w:rPr>
                <w:b/>
              </w:rPr>
              <w:t>Letna rast števila zaposlenih v obdobju</w:t>
            </w:r>
          </w:p>
          <w:p w:rsidR="00056332" w:rsidRPr="008372BD" w:rsidRDefault="00056332" w:rsidP="00C95CD2">
            <w:pPr>
              <w:jc w:val="center"/>
              <w:rPr>
                <w:b/>
              </w:rPr>
            </w:pPr>
            <w:r w:rsidRPr="008372BD">
              <w:rPr>
                <w:b/>
              </w:rPr>
              <w:t>2005 - 2008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  <w:rPr>
                <w:b/>
              </w:rPr>
            </w:pPr>
            <w:r w:rsidRPr="008372BD">
              <w:rPr>
                <w:b/>
              </w:rPr>
              <w:t>Letna rast števila zaposlenih v obdobju</w:t>
            </w:r>
          </w:p>
          <w:p w:rsidR="00056332" w:rsidRPr="008372BD" w:rsidRDefault="00056332" w:rsidP="00C95CD2">
            <w:pPr>
              <w:jc w:val="center"/>
              <w:rPr>
                <w:b/>
              </w:rPr>
            </w:pPr>
            <w:r w:rsidRPr="008372BD">
              <w:rPr>
                <w:b/>
              </w:rPr>
              <w:t>2008 - 2009</w:t>
            </w:r>
          </w:p>
        </w:tc>
      </w:tr>
      <w:tr w:rsidR="00056332">
        <w:tc>
          <w:tcPr>
            <w:tcW w:w="3070" w:type="dxa"/>
          </w:tcPr>
          <w:p w:rsidR="00056332" w:rsidRPr="008372BD" w:rsidRDefault="00056332" w:rsidP="00C95CD2">
            <w:pPr>
              <w:rPr>
                <w:b/>
              </w:rPr>
            </w:pPr>
            <w:r w:rsidRPr="008372BD">
              <w:rPr>
                <w:b/>
              </w:rPr>
              <w:t>Podjetja v (delni) lasti zaposlenih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</w:pPr>
            <w:r>
              <w:t>7,46%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</w:pPr>
            <w:r>
              <w:t>12,91%</w:t>
            </w:r>
          </w:p>
        </w:tc>
      </w:tr>
      <w:tr w:rsidR="00056332">
        <w:tc>
          <w:tcPr>
            <w:tcW w:w="3070" w:type="dxa"/>
          </w:tcPr>
          <w:p w:rsidR="00056332" w:rsidRPr="008372BD" w:rsidRDefault="00056332" w:rsidP="00C95CD2">
            <w:pPr>
              <w:rPr>
                <w:b/>
              </w:rPr>
            </w:pPr>
            <w:r w:rsidRPr="008372BD">
              <w:rPr>
                <w:b/>
              </w:rPr>
              <w:t>Podjetja, ki niso v lasti zaposlenih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</w:pPr>
            <w:r>
              <w:t>3,87%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</w:pPr>
            <w:r>
              <w:t>2,70%</w:t>
            </w:r>
          </w:p>
        </w:tc>
      </w:tr>
    </w:tbl>
    <w:p w:rsidR="00E45713" w:rsidRDefault="004A7DB7" w:rsidP="00056332">
      <w:r>
        <w:t xml:space="preserve">Vir: </w:t>
      </w:r>
      <w:proofErr w:type="spellStart"/>
      <w:r>
        <w:t>Lampel</w:t>
      </w:r>
      <w:proofErr w:type="spellEnd"/>
      <w:r>
        <w:t xml:space="preserve"> let </w:t>
      </w:r>
      <w:proofErr w:type="spellStart"/>
      <w:r>
        <w:t>al</w:t>
      </w:r>
      <w:proofErr w:type="spellEnd"/>
      <w:r>
        <w:t xml:space="preserve">., 2010 v </w:t>
      </w:r>
      <w:proofErr w:type="spellStart"/>
      <w:r>
        <w:t>Nuttall</w:t>
      </w:r>
      <w:proofErr w:type="spellEnd"/>
      <w:r>
        <w:t>, 2012</w:t>
      </w:r>
    </w:p>
    <w:p w:rsidR="00E45713" w:rsidRDefault="00E45713" w:rsidP="00056332"/>
    <w:p w:rsidR="00E45713" w:rsidRDefault="00E45713" w:rsidP="0036080A">
      <w:pPr>
        <w:ind w:firstLine="360"/>
      </w:pPr>
      <w:r>
        <w:t>Rezultati raziskav</w:t>
      </w:r>
      <w:r w:rsidR="009D003B">
        <w:t xml:space="preserve"> </w:t>
      </w:r>
      <w:r>
        <w:t>nadalje kažejo, da se produktivnost podjetij</w:t>
      </w:r>
      <w:r w:rsidR="00EB2F1D">
        <w:t xml:space="preserve"> z udeležbo zaposlenih v lastništvu</w:t>
      </w:r>
      <w:r>
        <w:t xml:space="preserve"> </w:t>
      </w:r>
      <w:r w:rsidR="00EB2F1D">
        <w:t xml:space="preserve">znatno </w:t>
      </w:r>
      <w:r>
        <w:t>poveča</w:t>
      </w:r>
      <w:r w:rsidR="00EB2F1D">
        <w:t>, če so za to izpolnjeni nekateri specifični pogoji, in sicer če se delničarstvo zaposlenih nadgrajuje z vključenostjo zaposlenih v delovanje podjetja na vseh ravneh, če gre za manjše podjetje, ki zaposluje manj kot 75 zaposlenih in če gre za posredno obliko lastništva zaposlenih</w:t>
      </w:r>
      <w:r w:rsidR="009D003B">
        <w:t>, ki spodbuja "timsko delo in krepi sodelovalni duh podjetja"</w:t>
      </w:r>
      <w:r w:rsidR="00EB2F1D">
        <w:t>.</w:t>
      </w:r>
    </w:p>
    <w:p w:rsidR="00FD14E8" w:rsidRDefault="00FD14E8" w:rsidP="007C45E9">
      <w:pPr>
        <w:ind w:left="360"/>
      </w:pPr>
    </w:p>
    <w:p w:rsidR="00160704" w:rsidRPr="00F96D35" w:rsidRDefault="00F96D35" w:rsidP="00F96D35">
      <w:pPr>
        <w:rPr>
          <w:b/>
          <w:i/>
        </w:rPr>
      </w:pPr>
      <w:r w:rsidRPr="00F96D35">
        <w:rPr>
          <w:b/>
          <w:i/>
        </w:rPr>
        <w:t>P</w:t>
      </w:r>
      <w:r w:rsidR="006010A0" w:rsidRPr="00F96D35">
        <w:rPr>
          <w:b/>
          <w:i/>
        </w:rPr>
        <w:t xml:space="preserve">ovečanje gospodarske </w:t>
      </w:r>
      <w:r w:rsidR="00160704" w:rsidRPr="00F96D35">
        <w:rPr>
          <w:b/>
          <w:i/>
        </w:rPr>
        <w:t>odpornosti</w:t>
      </w:r>
    </w:p>
    <w:p w:rsidR="00F96D35" w:rsidRPr="00F96D35" w:rsidRDefault="00F96D35" w:rsidP="00F96D35">
      <w:pPr>
        <w:rPr>
          <w:b/>
          <w:i/>
        </w:rPr>
      </w:pPr>
    </w:p>
    <w:p w:rsidR="004A7DB7" w:rsidRDefault="00160704" w:rsidP="004A7DB7">
      <w:r>
        <w:t>Podjetja v lasti zaposlenih izkazujejo glede na rezultate raziskav manjšo spremenljivost v času gospodarskih nihanj</w:t>
      </w:r>
      <w:r w:rsidR="004A7DB7">
        <w:t>, ker ohranjajo bolj usklajen pristop k tveganju</w:t>
      </w:r>
      <w:r>
        <w:t xml:space="preserve"> in so zato lažje obstala v času zadnje gospodarske krize.</w:t>
      </w:r>
      <w:r w:rsidR="004A7DB7" w:rsidRPr="004A7DB7">
        <w:t xml:space="preserve"> </w:t>
      </w:r>
      <w:r w:rsidR="004A7DB7">
        <w:t xml:space="preserve">Rezultati raziskave (glej Tabela 2) so pokazali, da je bila rast prodaje med letoma 2008 in 2009 v podjetjih z udeležbo zaposlenih v lastništvu (11,08%) znatno večja kot v </w:t>
      </w:r>
      <w:proofErr w:type="spellStart"/>
      <w:r w:rsidR="004A7DB7">
        <w:t>konvecionalnih</w:t>
      </w:r>
      <w:proofErr w:type="spellEnd"/>
      <w:r w:rsidR="004A7DB7">
        <w:t xml:space="preserve"> podjetjih (0,61%).</w:t>
      </w:r>
    </w:p>
    <w:p w:rsidR="00160704" w:rsidRDefault="00160704" w:rsidP="00160704"/>
    <w:p w:rsidR="00056332" w:rsidRDefault="00056332" w:rsidP="00056332">
      <w:pPr>
        <w:ind w:left="360"/>
      </w:pPr>
      <w:r>
        <w:t xml:space="preserve">Tabela 2: Gospodarska </w:t>
      </w:r>
      <w:r w:rsidR="00160704">
        <w:t>odpornost</w:t>
      </w:r>
      <w:r>
        <w:t xml:space="preserve"> podjetij, ki so v lasti zaposlenih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56332">
        <w:tc>
          <w:tcPr>
            <w:tcW w:w="3070" w:type="dxa"/>
          </w:tcPr>
          <w:p w:rsidR="00056332" w:rsidRDefault="00056332" w:rsidP="00C95CD2"/>
        </w:tc>
        <w:tc>
          <w:tcPr>
            <w:tcW w:w="3071" w:type="dxa"/>
          </w:tcPr>
          <w:p w:rsidR="00056332" w:rsidRDefault="00056332" w:rsidP="00C95CD2">
            <w:pPr>
              <w:jc w:val="center"/>
              <w:rPr>
                <w:b/>
              </w:rPr>
            </w:pPr>
            <w:r w:rsidRPr="008372BD">
              <w:rPr>
                <w:b/>
              </w:rPr>
              <w:t xml:space="preserve">Letna rast </w:t>
            </w:r>
            <w:r>
              <w:rPr>
                <w:b/>
              </w:rPr>
              <w:t>prodaje</w:t>
            </w:r>
            <w:r w:rsidRPr="008372BD">
              <w:rPr>
                <w:b/>
              </w:rPr>
              <w:t xml:space="preserve"> v obdobju</w:t>
            </w:r>
          </w:p>
          <w:p w:rsidR="00056332" w:rsidRPr="008372BD" w:rsidRDefault="00056332" w:rsidP="00C95CD2">
            <w:pPr>
              <w:jc w:val="center"/>
              <w:rPr>
                <w:b/>
              </w:rPr>
            </w:pPr>
            <w:r w:rsidRPr="008372BD">
              <w:rPr>
                <w:b/>
              </w:rPr>
              <w:t>2005 - 2008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  <w:rPr>
                <w:b/>
              </w:rPr>
            </w:pPr>
            <w:r w:rsidRPr="008372BD">
              <w:rPr>
                <w:b/>
              </w:rPr>
              <w:t xml:space="preserve">Letna rast </w:t>
            </w:r>
            <w:r>
              <w:rPr>
                <w:b/>
              </w:rPr>
              <w:t>prodaje</w:t>
            </w:r>
            <w:r w:rsidRPr="008372BD">
              <w:rPr>
                <w:b/>
              </w:rPr>
              <w:t xml:space="preserve"> v obdobju</w:t>
            </w:r>
          </w:p>
          <w:p w:rsidR="00056332" w:rsidRPr="008372BD" w:rsidRDefault="00056332" w:rsidP="00C95CD2">
            <w:pPr>
              <w:jc w:val="center"/>
              <w:rPr>
                <w:b/>
              </w:rPr>
            </w:pPr>
            <w:r w:rsidRPr="008372BD">
              <w:rPr>
                <w:b/>
              </w:rPr>
              <w:t>2008 - 2009</w:t>
            </w:r>
          </w:p>
        </w:tc>
      </w:tr>
      <w:tr w:rsidR="00056332">
        <w:tc>
          <w:tcPr>
            <w:tcW w:w="3070" w:type="dxa"/>
          </w:tcPr>
          <w:p w:rsidR="00056332" w:rsidRPr="008372BD" w:rsidRDefault="00056332" w:rsidP="00C95CD2">
            <w:pPr>
              <w:rPr>
                <w:b/>
              </w:rPr>
            </w:pPr>
            <w:r w:rsidRPr="008372BD">
              <w:rPr>
                <w:b/>
              </w:rPr>
              <w:t>Podjetja v (delni) lasti zaposlenih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</w:pPr>
            <w:r>
              <w:t>10,04%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</w:pPr>
            <w:r>
              <w:t>11,08%</w:t>
            </w:r>
          </w:p>
        </w:tc>
      </w:tr>
      <w:tr w:rsidR="00056332">
        <w:tc>
          <w:tcPr>
            <w:tcW w:w="3070" w:type="dxa"/>
          </w:tcPr>
          <w:p w:rsidR="00056332" w:rsidRPr="008372BD" w:rsidRDefault="00056332" w:rsidP="00C95CD2">
            <w:pPr>
              <w:rPr>
                <w:b/>
              </w:rPr>
            </w:pPr>
            <w:r w:rsidRPr="008372BD">
              <w:rPr>
                <w:b/>
              </w:rPr>
              <w:t>Podjetja, ki niso v lasti zaposlenih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</w:pPr>
            <w:r>
              <w:t>12,10%</w:t>
            </w:r>
          </w:p>
        </w:tc>
        <w:tc>
          <w:tcPr>
            <w:tcW w:w="3071" w:type="dxa"/>
          </w:tcPr>
          <w:p w:rsidR="00056332" w:rsidRDefault="00056332" w:rsidP="00C95CD2">
            <w:pPr>
              <w:jc w:val="center"/>
            </w:pPr>
            <w:r>
              <w:t>0,61%</w:t>
            </w:r>
          </w:p>
        </w:tc>
      </w:tr>
    </w:tbl>
    <w:p w:rsidR="004A7DB7" w:rsidRDefault="004A7DB7" w:rsidP="004A7DB7">
      <w:r>
        <w:lastRenderedPageBreak/>
        <w:t xml:space="preserve">Vir: </w:t>
      </w:r>
      <w:proofErr w:type="spellStart"/>
      <w:r>
        <w:t>Lampel</w:t>
      </w:r>
      <w:proofErr w:type="spellEnd"/>
      <w:r>
        <w:t xml:space="preserve"> let </w:t>
      </w:r>
      <w:proofErr w:type="spellStart"/>
      <w:r>
        <w:t>al</w:t>
      </w:r>
      <w:proofErr w:type="spellEnd"/>
      <w:r>
        <w:t xml:space="preserve">., 2010 v </w:t>
      </w:r>
      <w:proofErr w:type="spellStart"/>
      <w:r>
        <w:t>Nuttall</w:t>
      </w:r>
      <w:proofErr w:type="spellEnd"/>
      <w:r>
        <w:t>, 2012</w:t>
      </w:r>
    </w:p>
    <w:p w:rsidR="00FD14E8" w:rsidRDefault="00FD14E8" w:rsidP="009D003B"/>
    <w:p w:rsidR="004A7DB7" w:rsidRDefault="004A7DB7" w:rsidP="0036080A">
      <w:pPr>
        <w:ind w:firstLine="360"/>
      </w:pPr>
      <w:r>
        <w:t xml:space="preserve">Podjetja v lasti zaposlenih se od podjetij, ki niso v lasti zaposlenih razlikujejo predvsem po tem, da </w:t>
      </w:r>
      <w:r w:rsidR="000611F0">
        <w:t>v času gospodarskega vzpona niso nagnjena k prevzemanju prevelikih tveganj, medtem ko pa imajo v času slabih gospodarskih razmer bolj pozitiven odnos do širitve svoje dejavnosti kot običajna podjetja. Nadalje pa jih od običajnih podjetij loči tudi</w:t>
      </w:r>
      <w:r w:rsidR="005E5BD5">
        <w:t xml:space="preserve"> to,</w:t>
      </w:r>
      <w:r w:rsidR="000611F0">
        <w:t xml:space="preserve"> </w:t>
      </w:r>
      <w:r w:rsidR="00193F63">
        <w:t>da se bolj osredotoča</w:t>
      </w:r>
      <w:r w:rsidR="000611F0">
        <w:t xml:space="preserve">jo na notranjo rast podjetja (širjenje lastne baze poslovanja) kot na zunanjo (razvijanje novih proizvodov ali proizvodnih linij drugih podjetij). </w:t>
      </w:r>
      <w:r w:rsidR="002B6934">
        <w:t>Ta prednost je posledica dejstva, da imajo podjetja v lasti zaposlenih običajno večje težave pri pridobivanju zunanjih virov kapitala. V času recesije pa to pomeni prednost pred ostalimi podjetji, ker so podjetja v lasti zaposlenih bolj spretna pri uporabi notranjih virov za doseganje rasti in manj odvisna od zunanjih virov kapitala.</w:t>
      </w:r>
    </w:p>
    <w:p w:rsidR="00FD14E8" w:rsidRDefault="00FD14E8" w:rsidP="00FD14E8">
      <w:pPr>
        <w:ind w:left="360"/>
      </w:pPr>
    </w:p>
    <w:p w:rsidR="006010A0" w:rsidRPr="00A752D7" w:rsidRDefault="00A752D7" w:rsidP="00A752D7">
      <w:pPr>
        <w:rPr>
          <w:b/>
          <w:i/>
        </w:rPr>
      </w:pPr>
      <w:r w:rsidRPr="00A752D7">
        <w:rPr>
          <w:b/>
          <w:i/>
        </w:rPr>
        <w:t>V</w:t>
      </w:r>
      <w:r w:rsidR="006010A0" w:rsidRPr="00A752D7">
        <w:rPr>
          <w:b/>
          <w:i/>
        </w:rPr>
        <w:t xml:space="preserve">ečja </w:t>
      </w:r>
      <w:r w:rsidR="007C45E9" w:rsidRPr="00A752D7">
        <w:rPr>
          <w:b/>
          <w:i/>
        </w:rPr>
        <w:t>vključenost</w:t>
      </w:r>
      <w:r w:rsidR="006010A0" w:rsidRPr="00A752D7">
        <w:rPr>
          <w:b/>
          <w:i/>
        </w:rPr>
        <w:t xml:space="preserve"> </w:t>
      </w:r>
      <w:r w:rsidR="007C45E9" w:rsidRPr="00A752D7">
        <w:rPr>
          <w:b/>
          <w:i/>
        </w:rPr>
        <w:t xml:space="preserve">in predanost </w:t>
      </w:r>
      <w:r w:rsidR="006010A0" w:rsidRPr="00A752D7">
        <w:rPr>
          <w:b/>
          <w:i/>
        </w:rPr>
        <w:t>zaposlenih</w:t>
      </w:r>
      <w:r w:rsidR="007C45E9" w:rsidRPr="00A752D7">
        <w:rPr>
          <w:b/>
          <w:i/>
        </w:rPr>
        <w:t xml:space="preserve"> podjetju</w:t>
      </w:r>
    </w:p>
    <w:p w:rsidR="00A752D7" w:rsidRPr="00657ACD" w:rsidRDefault="00A752D7" w:rsidP="00A752D7">
      <w:pPr>
        <w:rPr>
          <w:b/>
        </w:rPr>
      </w:pPr>
    </w:p>
    <w:p w:rsidR="00567428" w:rsidRDefault="00567428" w:rsidP="00180B54">
      <w:r>
        <w:t>Rezultati raziskav</w:t>
      </w:r>
      <w:r w:rsidR="00D16CD8">
        <w:t xml:space="preserve"> (</w:t>
      </w:r>
      <w:proofErr w:type="spellStart"/>
      <w:r w:rsidR="00D16CD8">
        <w:t>Matrix</w:t>
      </w:r>
      <w:proofErr w:type="spellEnd"/>
      <w:r w:rsidR="00D16CD8">
        <w:t xml:space="preserve"> Evidence, 2010)</w:t>
      </w:r>
      <w:r>
        <w:t xml:space="preserve"> kažejo, da</w:t>
      </w:r>
      <w:r w:rsidR="00D16CD8">
        <w:t xml:space="preserve"> je za</w:t>
      </w:r>
      <w:r>
        <w:t xml:space="preserve"> podjetja v lasti zaposl</w:t>
      </w:r>
      <w:r w:rsidR="00D16CD8">
        <w:t>en</w:t>
      </w:r>
      <w:r>
        <w:t>ih</w:t>
      </w:r>
      <w:r w:rsidR="00D16CD8">
        <w:t xml:space="preserve"> značilna večja vključenost i</w:t>
      </w:r>
      <w:r w:rsidR="00AB7B7E">
        <w:t xml:space="preserve">n </w:t>
      </w:r>
      <w:r w:rsidR="005E5BD5">
        <w:t>predanost zaposlenih podjetju. N</w:t>
      </w:r>
      <w:r w:rsidR="00AB7B7E">
        <w:t xml:space="preserve">adalje je bilo ugotovljeno, da se delničarstvo zaposlenih in večja vključenost zaposlenih medsebojno dopolnjujeta in </w:t>
      </w:r>
      <w:r w:rsidR="00193F63">
        <w:t>podpirata</w:t>
      </w:r>
      <w:r w:rsidR="00AB7B7E">
        <w:t>.</w:t>
      </w:r>
    </w:p>
    <w:p w:rsidR="003448A5" w:rsidRDefault="00180B54" w:rsidP="003448A5">
      <w:pPr>
        <w:ind w:firstLine="708"/>
      </w:pPr>
      <w:proofErr w:type="spellStart"/>
      <w:r w:rsidRPr="00AB7B7E">
        <w:t>MacLeod</w:t>
      </w:r>
      <w:proofErr w:type="spellEnd"/>
      <w:r w:rsidR="00403C12">
        <w:t xml:space="preserve"> in Clark</w:t>
      </w:r>
      <w:r w:rsidRPr="00AB7B7E">
        <w:t xml:space="preserve"> (</w:t>
      </w:r>
      <w:r w:rsidR="00AB7B7E" w:rsidRPr="00AB7B7E">
        <w:t xml:space="preserve">v </w:t>
      </w:r>
      <w:proofErr w:type="spellStart"/>
      <w:r w:rsidR="00AB7B7E" w:rsidRPr="00AB7B7E">
        <w:t>Nuttall</w:t>
      </w:r>
      <w:proofErr w:type="spellEnd"/>
      <w:r w:rsidR="00AB7B7E" w:rsidRPr="00AB7B7E">
        <w:t>, 26:2012</w:t>
      </w:r>
      <w:r w:rsidRPr="00AB7B7E">
        <w:t xml:space="preserve">) </w:t>
      </w:r>
      <w:r w:rsidR="00AB7B7E">
        <w:t>pojem vključenosti zaposlenih v svoj</w:t>
      </w:r>
      <w:r w:rsidR="00EA67B0">
        <w:t>em neodvisnem poročilu razloži</w:t>
      </w:r>
      <w:r w:rsidR="00403C12">
        <w:t>ta</w:t>
      </w:r>
      <w:r>
        <w:t xml:space="preserve"> </w:t>
      </w:r>
      <w:r w:rsidR="00D16CD8">
        <w:t>kot</w:t>
      </w:r>
      <w:r>
        <w:t>:</w:t>
      </w:r>
      <w:r w:rsidR="003448A5">
        <w:t xml:space="preserve"> </w:t>
      </w:r>
      <w:r w:rsidR="003448A5">
        <w:rPr>
          <w:i/>
        </w:rPr>
        <w:t>»</w:t>
      </w:r>
      <w:r w:rsidR="00D16CD8" w:rsidRPr="00193F63">
        <w:rPr>
          <w:i/>
        </w:rPr>
        <w:t xml:space="preserve">način delovanja na delovnem mestu, ki je </w:t>
      </w:r>
      <w:r w:rsidRPr="00193F63">
        <w:rPr>
          <w:i/>
        </w:rPr>
        <w:t xml:space="preserve">zasnovan tako, </w:t>
      </w:r>
      <w:r w:rsidR="00D16CD8" w:rsidRPr="00193F63">
        <w:rPr>
          <w:i/>
        </w:rPr>
        <w:t xml:space="preserve">da omogoča zavezanost zaposlenih </w:t>
      </w:r>
      <w:r w:rsidR="00193F63">
        <w:rPr>
          <w:i/>
        </w:rPr>
        <w:t>k</w:t>
      </w:r>
      <w:r w:rsidRPr="00193F63">
        <w:rPr>
          <w:i/>
        </w:rPr>
        <w:t xml:space="preserve"> </w:t>
      </w:r>
      <w:r w:rsidR="00D16CD8" w:rsidRPr="00193F63">
        <w:rPr>
          <w:i/>
        </w:rPr>
        <w:t>uresničevanju ciljev</w:t>
      </w:r>
      <w:r w:rsidRPr="00193F63">
        <w:rPr>
          <w:i/>
        </w:rPr>
        <w:t xml:space="preserve"> </w:t>
      </w:r>
      <w:r w:rsidR="00D16CD8" w:rsidRPr="00193F63">
        <w:rPr>
          <w:i/>
        </w:rPr>
        <w:t xml:space="preserve">in vrednot </w:t>
      </w:r>
      <w:r w:rsidRPr="00193F63">
        <w:rPr>
          <w:i/>
        </w:rPr>
        <w:t>njihove organizacije</w:t>
      </w:r>
      <w:r w:rsidR="00D16CD8" w:rsidRPr="00193F63">
        <w:rPr>
          <w:i/>
        </w:rPr>
        <w:t>, motiviranost zaposlenih</w:t>
      </w:r>
      <w:r w:rsidRPr="00193F63">
        <w:rPr>
          <w:i/>
        </w:rPr>
        <w:t xml:space="preserve"> p</w:t>
      </w:r>
      <w:r w:rsidR="00D16CD8" w:rsidRPr="00193F63">
        <w:rPr>
          <w:i/>
        </w:rPr>
        <w:t>rispevati k uspehu organizacije</w:t>
      </w:r>
      <w:r w:rsidRPr="00193F63">
        <w:rPr>
          <w:i/>
        </w:rPr>
        <w:t xml:space="preserve"> in </w:t>
      </w:r>
      <w:r w:rsidR="00D16CD8" w:rsidRPr="00193F63">
        <w:rPr>
          <w:i/>
        </w:rPr>
        <w:t>hkrati sposobnost zaposlenih</w:t>
      </w:r>
      <w:r w:rsidRPr="00193F63">
        <w:rPr>
          <w:i/>
        </w:rPr>
        <w:t xml:space="preserve"> za krepitev lastnega občutka za dobro počutje</w:t>
      </w:r>
      <w:r>
        <w:t>.</w:t>
      </w:r>
      <w:r w:rsidR="003448A5">
        <w:t>«</w:t>
      </w:r>
    </w:p>
    <w:p w:rsidR="00180B54" w:rsidRDefault="00D16CD8" w:rsidP="003448A5">
      <w:pPr>
        <w:ind w:firstLine="708"/>
      </w:pPr>
      <w:r>
        <w:t xml:space="preserve"> </w:t>
      </w:r>
    </w:p>
    <w:p w:rsidR="00180B54" w:rsidRDefault="00193F63" w:rsidP="0036080A">
      <w:pPr>
        <w:ind w:firstLine="360"/>
      </w:pPr>
      <w:proofErr w:type="spellStart"/>
      <w:r>
        <w:t>McLeod</w:t>
      </w:r>
      <w:proofErr w:type="spellEnd"/>
      <w:r>
        <w:t xml:space="preserve"> (</w:t>
      </w:r>
      <w:r w:rsidRPr="00AB7B7E">
        <w:t xml:space="preserve">v </w:t>
      </w:r>
      <w:proofErr w:type="spellStart"/>
      <w:r w:rsidRPr="00AB7B7E">
        <w:t>Nuttall</w:t>
      </w:r>
      <w:proofErr w:type="spellEnd"/>
      <w:r w:rsidRPr="00AB7B7E">
        <w:t>, 26:2012</w:t>
      </w:r>
      <w:r>
        <w:t>) navaja naslednje temeljne</w:t>
      </w:r>
      <w:r w:rsidR="00567428">
        <w:t xml:space="preserve"> dejavnik</w:t>
      </w:r>
      <w:r>
        <w:t>e</w:t>
      </w:r>
      <w:r w:rsidR="00567428">
        <w:t xml:space="preserve">, ki vodijo do </w:t>
      </w:r>
      <w:r w:rsidR="00180B54">
        <w:t xml:space="preserve">uspešnih </w:t>
      </w:r>
      <w:r w:rsidR="00567428">
        <w:t>načinov vključevanja zaposlenih</w:t>
      </w:r>
      <w:r w:rsidR="00180B54">
        <w:t>:</w:t>
      </w:r>
    </w:p>
    <w:p w:rsidR="00180B54" w:rsidRDefault="00180B54" w:rsidP="00567428">
      <w:pPr>
        <w:numPr>
          <w:ilvl w:val="0"/>
          <w:numId w:val="4"/>
        </w:numPr>
      </w:pPr>
      <w:r>
        <w:t xml:space="preserve">vodstvo, ki zagotavlja močno, pregledno </w:t>
      </w:r>
      <w:r w:rsidR="005E5BD5">
        <w:t>in jasno organizacijsko kulturo</w:t>
      </w:r>
      <w:r>
        <w:t xml:space="preserve"> </w:t>
      </w:r>
      <w:r w:rsidR="005E5BD5">
        <w:t>ter</w:t>
      </w:r>
      <w:r>
        <w:t xml:space="preserve"> daje zaposlenim </w:t>
      </w:r>
      <w:r w:rsidR="00443C02">
        <w:t>možnost pregleda nad</w:t>
      </w:r>
      <w:r>
        <w:t xml:space="preserve"> nj</w:t>
      </w:r>
      <w:r w:rsidR="00193F63">
        <w:t xml:space="preserve">ihovim delom, </w:t>
      </w:r>
      <w:r>
        <w:t>vizijo</w:t>
      </w:r>
      <w:r w:rsidR="00443C02">
        <w:t xml:space="preserve"> in cilji</w:t>
      </w:r>
      <w:r>
        <w:t xml:space="preserve"> organizacije;</w:t>
      </w:r>
    </w:p>
    <w:p w:rsidR="00180B54" w:rsidRDefault="00567428" w:rsidP="00180B54">
      <w:pPr>
        <w:numPr>
          <w:ilvl w:val="0"/>
          <w:numId w:val="4"/>
        </w:numPr>
      </w:pPr>
      <w:r>
        <w:t>dobri</w:t>
      </w:r>
      <w:r w:rsidR="00180B54">
        <w:t xml:space="preserve"> menedžerji, ki ponujajo </w:t>
      </w:r>
      <w:r w:rsidR="00193F63">
        <w:t>transparentnost</w:t>
      </w:r>
      <w:r w:rsidR="00180B54">
        <w:t xml:space="preserve">, </w:t>
      </w:r>
      <w:r>
        <w:t>dajejo vso priznanje zaposlenim za njihov prispevek in napore</w:t>
      </w:r>
      <w:r w:rsidR="00180B54">
        <w:t>, ki obravnava</w:t>
      </w:r>
      <w:r>
        <w:t>jo svoje ljudi kot posameznike</w:t>
      </w:r>
      <w:r w:rsidR="00180B54">
        <w:t xml:space="preserve"> in ki zagotavlja</w:t>
      </w:r>
      <w:r>
        <w:t>jo dobro</w:t>
      </w:r>
      <w:r w:rsidR="00180B54">
        <w:t xml:space="preserve"> in učinkovito</w:t>
      </w:r>
      <w:r>
        <w:t xml:space="preserve"> organizacijo dela</w:t>
      </w:r>
      <w:r w:rsidR="00180B54">
        <w:t xml:space="preserve">, tako da zaposleni čutijo, da so </w:t>
      </w:r>
      <w:r>
        <w:t xml:space="preserve">cenjeni </w:t>
      </w:r>
      <w:r w:rsidR="00180B54">
        <w:t>in</w:t>
      </w:r>
      <w:r>
        <w:t xml:space="preserve"> da</w:t>
      </w:r>
      <w:r w:rsidR="00180B54">
        <w:t xml:space="preserve"> </w:t>
      </w:r>
      <w:r>
        <w:t>imajo vso podporo pri opravljanju</w:t>
      </w:r>
      <w:r w:rsidR="00180B54">
        <w:t xml:space="preserve"> svoje</w:t>
      </w:r>
      <w:r>
        <w:t>ga dela</w:t>
      </w:r>
      <w:r w:rsidR="00180B54">
        <w:t>;</w:t>
      </w:r>
    </w:p>
    <w:p w:rsidR="00180B54" w:rsidRDefault="00180B54" w:rsidP="00180B54">
      <w:pPr>
        <w:numPr>
          <w:ilvl w:val="0"/>
          <w:numId w:val="4"/>
        </w:numPr>
      </w:pPr>
      <w:r>
        <w:t>občutek zaposlenih, da imajo možnost izražanja svojih idej in so slišani</w:t>
      </w:r>
      <w:r w:rsidR="00443C02">
        <w:t xml:space="preserve">, </w:t>
      </w:r>
      <w:r w:rsidR="00193F63">
        <w:t xml:space="preserve">dobijo povratno informacijo o tem, </w:t>
      </w:r>
      <w:r w:rsidR="00443C02">
        <w:t xml:space="preserve">kako opravljajo svoje delo, da imajo možnost vpliva na odločitve, ki se sprejemajo podjetju in lahko sodelujejo pri reševanju težav in izzivov ter da </w:t>
      </w:r>
      <w:r w:rsidR="00193F63">
        <w:t>so skupaj z vodstvom zavezani</w:t>
      </w:r>
      <w:r w:rsidR="00443C02">
        <w:t xml:space="preserve"> k oblikovanju skupnih</w:t>
      </w:r>
      <w:r w:rsidR="00567428">
        <w:t xml:space="preserve"> rešitev;</w:t>
      </w:r>
      <w:r>
        <w:t xml:space="preserve"> in</w:t>
      </w:r>
    </w:p>
    <w:p w:rsidR="002B6934" w:rsidRDefault="00180B54" w:rsidP="00180B54">
      <w:pPr>
        <w:numPr>
          <w:ilvl w:val="0"/>
          <w:numId w:val="4"/>
        </w:numPr>
      </w:pPr>
      <w:r>
        <w:t>prepričanja med zaposlenimi, da organizacija živi svoje vrednote in da zagovarja vedenjske norme, ki temeljijo na zaupanju in občutku celovitosti.</w:t>
      </w:r>
    </w:p>
    <w:p w:rsidR="00657ACD" w:rsidRDefault="00657ACD" w:rsidP="0036080A">
      <w:pPr>
        <w:ind w:firstLine="360"/>
      </w:pPr>
      <w:r>
        <w:t xml:space="preserve">Svoje poročilo </w:t>
      </w:r>
      <w:proofErr w:type="spellStart"/>
      <w:r>
        <w:t>McLeod</w:t>
      </w:r>
      <w:proofErr w:type="spellEnd"/>
      <w:r>
        <w:t xml:space="preserve"> (</w:t>
      </w:r>
      <w:r w:rsidRPr="00AB7B7E">
        <w:t xml:space="preserve">v </w:t>
      </w:r>
      <w:proofErr w:type="spellStart"/>
      <w:r w:rsidRPr="00AB7B7E">
        <w:t>Nuttall</w:t>
      </w:r>
      <w:proofErr w:type="spellEnd"/>
      <w:r w:rsidRPr="00AB7B7E">
        <w:t>,</w:t>
      </w:r>
      <w:r>
        <w:t xml:space="preserve"> 27</w:t>
      </w:r>
      <w:r w:rsidRPr="00AB7B7E">
        <w:t>:2012</w:t>
      </w:r>
      <w:r>
        <w:t>) zaključuje z ugotovitvijo, da je vključenost in preda</w:t>
      </w:r>
      <w:r w:rsidR="00193F63">
        <w:t>nost zaposlenih podjetju odvisna</w:t>
      </w:r>
      <w:r>
        <w:t xml:space="preserve"> o</w:t>
      </w:r>
      <w:r w:rsidR="00193F63">
        <w:t xml:space="preserve">d vzajemnih prizadevanj tako delojemalcev kot </w:t>
      </w:r>
      <w:r w:rsidR="005E5BD5">
        <w:t xml:space="preserve">tudi </w:t>
      </w:r>
      <w:r>
        <w:t>delodajalcev. Večja vključe</w:t>
      </w:r>
      <w:r w:rsidR="00193F63">
        <w:t>nost zaposlenih pa</w:t>
      </w:r>
      <w:r w:rsidR="00B62535">
        <w:t xml:space="preserve"> ima </w:t>
      </w:r>
      <w:r w:rsidR="005B5FBD">
        <w:t xml:space="preserve">nadalje </w:t>
      </w:r>
      <w:r w:rsidR="00B62535">
        <w:t>močno povezavo</w:t>
      </w:r>
      <w:r>
        <w:t xml:space="preserve"> s poslovno uspešnostjo podjetja, storitvami za stranke, inovativnostjo, zman</w:t>
      </w:r>
      <w:r w:rsidR="005B5FBD">
        <w:t>j</w:t>
      </w:r>
      <w:r>
        <w:t xml:space="preserve">ševanjem bolniških odsotnosti, zmanjševanjem </w:t>
      </w:r>
      <w:proofErr w:type="spellStart"/>
      <w:r>
        <w:t>fluktuacije</w:t>
      </w:r>
      <w:proofErr w:type="spellEnd"/>
      <w:r>
        <w:t xml:space="preserve"> zaposlenih in z zmanjšanjem nesreč na delovnem mestu.</w:t>
      </w:r>
    </w:p>
    <w:p w:rsidR="00657ACD" w:rsidRDefault="00657ACD" w:rsidP="002B6934"/>
    <w:p w:rsidR="006010A0" w:rsidRPr="00A752D7" w:rsidRDefault="00A752D7" w:rsidP="00A752D7">
      <w:pPr>
        <w:rPr>
          <w:b/>
          <w:i/>
        </w:rPr>
      </w:pPr>
      <w:r w:rsidRPr="00A752D7">
        <w:rPr>
          <w:b/>
          <w:i/>
        </w:rPr>
        <w:t>Spodbujanje inovacij</w:t>
      </w:r>
    </w:p>
    <w:p w:rsidR="00A752D7" w:rsidRPr="00657ACD" w:rsidRDefault="00A752D7" w:rsidP="00A752D7">
      <w:pPr>
        <w:rPr>
          <w:b/>
        </w:rPr>
      </w:pPr>
    </w:p>
    <w:p w:rsidR="00216A22" w:rsidRDefault="00216A22" w:rsidP="00DF2741">
      <w:r>
        <w:t>44 odstotkov vpra</w:t>
      </w:r>
      <w:r w:rsidR="00B62535">
        <w:t xml:space="preserve">šanih se je v raziskavi (Burns </w:t>
      </w:r>
      <w:r w:rsidR="00B62535" w:rsidRPr="00AB7B7E">
        <w:t xml:space="preserve">v </w:t>
      </w:r>
      <w:proofErr w:type="spellStart"/>
      <w:r w:rsidR="00B62535" w:rsidRPr="00AB7B7E">
        <w:t>Nuttall</w:t>
      </w:r>
      <w:proofErr w:type="spellEnd"/>
      <w:r w:rsidR="00B62535" w:rsidRPr="00AB7B7E">
        <w:t>,</w:t>
      </w:r>
      <w:r w:rsidR="00B62535">
        <w:t xml:space="preserve"> 27</w:t>
      </w:r>
      <w:r w:rsidR="00B62535" w:rsidRPr="00AB7B7E">
        <w:t>:2012</w:t>
      </w:r>
      <w:r w:rsidR="00B62535">
        <w:t xml:space="preserve">) </w:t>
      </w:r>
      <w:r>
        <w:t>strinjalo s trditvijo, da se podjetja v lasti zaposlenih bolj</w:t>
      </w:r>
      <w:r w:rsidR="00B62535">
        <w:t xml:space="preserve"> zavzemajo za uspeh podjetja, ka</w:t>
      </w:r>
      <w:r>
        <w:t>r po</w:t>
      </w:r>
      <w:r w:rsidR="003D2600">
        <w:t xml:space="preserve">sledično vodi do večje </w:t>
      </w:r>
      <w:r w:rsidR="003D2600">
        <w:lastRenderedPageBreak/>
        <w:t>inovacijske učinkovitosti. Podobno je bilo ugotovljeno v naslednji raziskavi</w:t>
      </w:r>
      <w:r w:rsidR="00B62535">
        <w:t xml:space="preserve"> (</w:t>
      </w:r>
      <w:proofErr w:type="spellStart"/>
      <w:r w:rsidR="00B62535">
        <w:t>Lampel</w:t>
      </w:r>
      <w:proofErr w:type="spellEnd"/>
      <w:r w:rsidR="00B62535">
        <w:t xml:space="preserve"> </w:t>
      </w:r>
      <w:proofErr w:type="spellStart"/>
      <w:r w:rsidR="00B62535">
        <w:t>et</w:t>
      </w:r>
      <w:proofErr w:type="spellEnd"/>
      <w:r w:rsidR="00B62535">
        <w:t xml:space="preserve"> </w:t>
      </w:r>
      <w:proofErr w:type="spellStart"/>
      <w:r w:rsidR="00B62535">
        <w:t>al</w:t>
      </w:r>
      <w:proofErr w:type="spellEnd"/>
      <w:r w:rsidR="00B62535">
        <w:t xml:space="preserve">. </w:t>
      </w:r>
      <w:r w:rsidR="00B62535" w:rsidRPr="00AB7B7E">
        <w:t xml:space="preserve">v </w:t>
      </w:r>
      <w:proofErr w:type="spellStart"/>
      <w:r w:rsidR="00B62535" w:rsidRPr="00AB7B7E">
        <w:t>Nuttall</w:t>
      </w:r>
      <w:proofErr w:type="spellEnd"/>
      <w:r w:rsidR="00B62535" w:rsidRPr="00AB7B7E">
        <w:t>,</w:t>
      </w:r>
      <w:r w:rsidR="00B62535">
        <w:t xml:space="preserve"> 27</w:t>
      </w:r>
      <w:r w:rsidR="00B62535" w:rsidRPr="00AB7B7E">
        <w:t>:2012</w:t>
      </w:r>
      <w:r w:rsidR="00B62535">
        <w:t xml:space="preserve">), </w:t>
      </w:r>
      <w:r w:rsidR="003D2600">
        <w:t xml:space="preserve">da se </w:t>
      </w:r>
      <w:r w:rsidR="003D2600" w:rsidRPr="00216A22">
        <w:t>podjetja v lasti zaposlenih</w:t>
      </w:r>
      <w:r w:rsidR="003D2600">
        <w:t xml:space="preserve"> zavedajo svoje </w:t>
      </w:r>
      <w:r w:rsidR="003D2600" w:rsidRPr="00216A22">
        <w:t>sposobnost</w:t>
      </w:r>
      <w:r w:rsidR="003D2600">
        <w:t>i</w:t>
      </w:r>
      <w:r w:rsidR="003D2600" w:rsidRPr="00216A22">
        <w:t xml:space="preserve"> </w:t>
      </w:r>
      <w:r w:rsidR="003D2600">
        <w:t>privabljanja in ohranjanja nadarjenih zaposlenih</w:t>
      </w:r>
      <w:r w:rsidR="002772FB">
        <w:t xml:space="preserve"> in koriščenja njihovih inovacij. Privabljanje nadarjenih zaposlenih je ena največjih prednosti </w:t>
      </w:r>
      <w:r w:rsidR="002772FB" w:rsidRPr="00216A22">
        <w:t>modela lastništva zaposlenih.</w:t>
      </w:r>
    </w:p>
    <w:p w:rsidR="00F57161" w:rsidRDefault="00F57161" w:rsidP="00DF2741"/>
    <w:p w:rsidR="002772FB" w:rsidRDefault="002772FB" w:rsidP="0036080A">
      <w:pPr>
        <w:ind w:firstLine="708"/>
      </w:pPr>
      <w:r>
        <w:t xml:space="preserve">Za model lastništva zaposlenih velja, da je neke vrste "aktivator" večje angažiranosti zaposlenih. Rezultati raziskav </w:t>
      </w:r>
      <w:r w:rsidR="00EA67B0">
        <w:t>(</w:t>
      </w:r>
      <w:proofErr w:type="spellStart"/>
      <w:r w:rsidR="00EA67B0">
        <w:t>MacLeod</w:t>
      </w:r>
      <w:proofErr w:type="spellEnd"/>
      <w:r w:rsidR="00403C12">
        <w:t xml:space="preserve"> in Clarke</w:t>
      </w:r>
      <w:r w:rsidR="00EA67B0">
        <w:t xml:space="preserve">, </w:t>
      </w:r>
      <w:proofErr w:type="spellStart"/>
      <w:r w:rsidR="00EA67B0">
        <w:t>Michie</w:t>
      </w:r>
      <w:proofErr w:type="spellEnd"/>
      <w:r w:rsidR="00403C12">
        <w:t xml:space="preserve"> in </w:t>
      </w:r>
      <w:proofErr w:type="spellStart"/>
      <w:r w:rsidR="00403C12">
        <w:t>Sheehan</w:t>
      </w:r>
      <w:proofErr w:type="spellEnd"/>
      <w:r w:rsidR="00EA67B0">
        <w:t xml:space="preserve"> </w:t>
      </w:r>
      <w:r w:rsidR="00403C12">
        <w:t>v</w:t>
      </w:r>
      <w:r w:rsidR="00EA67B0">
        <w:t xml:space="preserve"> </w:t>
      </w:r>
      <w:proofErr w:type="spellStart"/>
      <w:r w:rsidR="00EA67B0">
        <w:t>Nuttall</w:t>
      </w:r>
      <w:proofErr w:type="spellEnd"/>
      <w:r w:rsidR="00EA67B0">
        <w:t xml:space="preserve">, 2012) </w:t>
      </w:r>
      <w:r>
        <w:t xml:space="preserve">pa kažejo, da obstaja močna povezava med </w:t>
      </w:r>
      <w:r w:rsidR="00EA67B0">
        <w:t>angažiranostjo (vključenostjo) zaposlenih in inovativnostjo zaposlenih.</w:t>
      </w:r>
      <w:r>
        <w:t xml:space="preserve">  </w:t>
      </w:r>
    </w:p>
    <w:p w:rsidR="002772FB" w:rsidRDefault="002772FB" w:rsidP="002772FB"/>
    <w:p w:rsidR="002772FB" w:rsidRDefault="002772FB" w:rsidP="002772FB">
      <w:proofErr w:type="spellStart"/>
      <w:r>
        <w:t>Lampel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 w:rsidR="00EA67B0">
        <w:t>(</w:t>
      </w:r>
      <w:r w:rsidR="00EA67B0" w:rsidRPr="00AB7B7E">
        <w:t xml:space="preserve">v </w:t>
      </w:r>
      <w:proofErr w:type="spellStart"/>
      <w:r w:rsidR="00EA67B0" w:rsidRPr="00AB7B7E">
        <w:t>Nuttall</w:t>
      </w:r>
      <w:proofErr w:type="spellEnd"/>
      <w:r w:rsidR="00EA67B0" w:rsidRPr="00AB7B7E">
        <w:t>,</w:t>
      </w:r>
      <w:r w:rsidR="00EA67B0">
        <w:t xml:space="preserve"> 27</w:t>
      </w:r>
      <w:r w:rsidR="00EA67B0" w:rsidRPr="00AB7B7E">
        <w:t>:2012</w:t>
      </w:r>
      <w:r w:rsidR="00EA67B0">
        <w:t xml:space="preserve">) </w:t>
      </w:r>
      <w:r>
        <w:t xml:space="preserve">je </w:t>
      </w:r>
      <w:r w:rsidR="00EA67B0">
        <w:t>v svoji raziskavi ugotovil, da imajo</w:t>
      </w:r>
      <w:r w:rsidR="00B62535">
        <w:t xml:space="preserve"> podjetja v lasti zaposlenih </w:t>
      </w:r>
      <w:r>
        <w:t xml:space="preserve">večinoma dolgoročno usmeritev, </w:t>
      </w:r>
      <w:r w:rsidR="00EA67B0">
        <w:t>velik</w:t>
      </w:r>
      <w:r>
        <w:t xml:space="preserve"> pomen</w:t>
      </w:r>
      <w:r w:rsidR="00EA67B0">
        <w:t xml:space="preserve"> pripisujejo "pionirskim</w:t>
      </w:r>
      <w:r>
        <w:t xml:space="preserve"> inovacij</w:t>
      </w:r>
      <w:r w:rsidR="00EA67B0">
        <w:t>am</w:t>
      </w:r>
      <w:r>
        <w:t xml:space="preserve">" in </w:t>
      </w:r>
      <w:r w:rsidR="00EA67B0">
        <w:t>so bolj naklonjena inovativnim idejam</w:t>
      </w:r>
      <w:r>
        <w:t xml:space="preserve"> </w:t>
      </w:r>
      <w:r w:rsidR="00EA67B0">
        <w:t>svojih zaposlenih kot podjetja</w:t>
      </w:r>
      <w:r>
        <w:t>, ki niso</w:t>
      </w:r>
      <w:r w:rsidR="00EA67B0">
        <w:t xml:space="preserve"> v lasti zaposlenih</w:t>
      </w:r>
      <w:r>
        <w:t>.</w:t>
      </w:r>
      <w:r w:rsidR="00FA144C">
        <w:t xml:space="preserve"> Nadalje pa Burns (</w:t>
      </w:r>
      <w:r w:rsidR="00FA144C" w:rsidRPr="00AB7B7E">
        <w:t xml:space="preserve">v </w:t>
      </w:r>
      <w:proofErr w:type="spellStart"/>
      <w:r w:rsidR="00FA144C" w:rsidRPr="00AB7B7E">
        <w:t>Nuttall</w:t>
      </w:r>
      <w:proofErr w:type="spellEnd"/>
      <w:r w:rsidR="00FA144C" w:rsidRPr="00AB7B7E">
        <w:t>,</w:t>
      </w:r>
      <w:r w:rsidR="00FA144C">
        <w:t xml:space="preserve"> 27</w:t>
      </w:r>
      <w:r w:rsidR="00FA144C" w:rsidRPr="00AB7B7E">
        <w:t>:2012</w:t>
      </w:r>
      <w:r w:rsidR="00FA144C">
        <w:t xml:space="preserve">) opozarja, da bi lahko nizka </w:t>
      </w:r>
      <w:proofErr w:type="spellStart"/>
      <w:r w:rsidR="00FA144C">
        <w:t>fluktuacija</w:t>
      </w:r>
      <w:proofErr w:type="spellEnd"/>
      <w:r w:rsidR="00FA144C">
        <w:t>, ki je sicer ena izmed prednosti delničarstva zaposlenih, ustvarila razmere, v katerih bi se nove ideje počasneje uresničevale kot sveže ideje, ki jih v podjetje prinesejo novi zaposleni</w:t>
      </w:r>
      <w:r w:rsidR="00B62535">
        <w:t>.</w:t>
      </w:r>
    </w:p>
    <w:p w:rsidR="00274D6D" w:rsidRDefault="00274D6D" w:rsidP="00274D6D">
      <w:pPr>
        <w:ind w:left="360"/>
      </w:pPr>
    </w:p>
    <w:p w:rsidR="006010A0" w:rsidRPr="003448A5" w:rsidRDefault="003448A5" w:rsidP="003448A5">
      <w:pPr>
        <w:rPr>
          <w:b/>
          <w:i/>
        </w:rPr>
      </w:pPr>
      <w:r w:rsidRPr="003448A5">
        <w:rPr>
          <w:b/>
          <w:i/>
        </w:rPr>
        <w:t>V</w:t>
      </w:r>
      <w:r w:rsidR="007C45E9" w:rsidRPr="003448A5">
        <w:rPr>
          <w:b/>
          <w:i/>
        </w:rPr>
        <w:t>ečja verjetnost</w:t>
      </w:r>
      <w:r w:rsidR="006010A0" w:rsidRPr="003448A5">
        <w:rPr>
          <w:b/>
          <w:i/>
        </w:rPr>
        <w:t xml:space="preserve"> </w:t>
      </w:r>
      <w:r w:rsidR="007C45E9" w:rsidRPr="003448A5">
        <w:rPr>
          <w:b/>
          <w:i/>
        </w:rPr>
        <w:t xml:space="preserve">dobrega počutja </w:t>
      </w:r>
      <w:r w:rsidR="006010A0" w:rsidRPr="003448A5">
        <w:rPr>
          <w:b/>
          <w:i/>
        </w:rPr>
        <w:t>zaposleni</w:t>
      </w:r>
      <w:r w:rsidR="007C45E9" w:rsidRPr="003448A5">
        <w:rPr>
          <w:b/>
          <w:i/>
        </w:rPr>
        <w:t>h</w:t>
      </w:r>
      <w:r w:rsidR="006010A0" w:rsidRPr="003448A5">
        <w:rPr>
          <w:b/>
          <w:i/>
        </w:rPr>
        <w:t xml:space="preserve"> </w:t>
      </w:r>
    </w:p>
    <w:p w:rsidR="003448A5" w:rsidRPr="00657ACD" w:rsidRDefault="003448A5" w:rsidP="003448A5">
      <w:pPr>
        <w:rPr>
          <w:b/>
        </w:rPr>
      </w:pPr>
    </w:p>
    <w:p w:rsidR="002C500E" w:rsidRDefault="00FA144C" w:rsidP="00274D6D">
      <w:r w:rsidRPr="00FA144C">
        <w:t xml:space="preserve">Raziskava </w:t>
      </w:r>
      <w:proofErr w:type="spellStart"/>
      <w:r w:rsidRPr="00FA144C">
        <w:t>Napier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r w:rsidRPr="00FA144C">
        <w:t>ki je</w:t>
      </w:r>
      <w:r>
        <w:t xml:space="preserve"> bila tudi</w:t>
      </w:r>
      <w:r w:rsidRPr="00FA144C">
        <w:t xml:space="preserve"> vključena v raziskavo o zdravju in dobrem počutju</w:t>
      </w:r>
      <w:r w:rsidR="002C500E">
        <w:t>, ki se je izvajala</w:t>
      </w:r>
      <w:r w:rsidRPr="00FA144C">
        <w:t xml:space="preserve"> </w:t>
      </w:r>
      <w:r>
        <w:t>v</w:t>
      </w:r>
      <w:r w:rsidRPr="00FA144C">
        <w:t xml:space="preserve"> različnih družbah </w:t>
      </w:r>
      <w:r>
        <w:t xml:space="preserve">v </w:t>
      </w:r>
      <w:r w:rsidRPr="00FA144C">
        <w:t>lasti zaposlenih</w:t>
      </w:r>
      <w:r>
        <w:t>, je ugotovila,</w:t>
      </w:r>
      <w:r w:rsidRPr="00FA144C">
        <w:t xml:space="preserve"> da je večina </w:t>
      </w:r>
      <w:r>
        <w:t>zaposlenih sedaj bolj zadovoljna</w:t>
      </w:r>
      <w:r w:rsidRPr="00FA144C">
        <w:t xml:space="preserve"> v primerjavi z </w:t>
      </w:r>
      <w:r>
        <w:t>obdobjem</w:t>
      </w:r>
      <w:r w:rsidRPr="00FA144C">
        <w:t xml:space="preserve">, ko so delali za podjetja, ki niso </w:t>
      </w:r>
      <w:r w:rsidR="002C500E">
        <w:t xml:space="preserve">bila </w:t>
      </w:r>
      <w:r w:rsidRPr="00FA144C">
        <w:t xml:space="preserve">v lasti zaposlenih. </w:t>
      </w:r>
      <w:proofErr w:type="spellStart"/>
      <w:r w:rsidRPr="00FA144C">
        <w:t>Davies</w:t>
      </w:r>
      <w:proofErr w:type="spellEnd"/>
      <w:r w:rsidRPr="00FA144C">
        <w:t xml:space="preserve"> </w:t>
      </w:r>
      <w:r w:rsidR="002C500E">
        <w:t>(</w:t>
      </w:r>
      <w:r w:rsidR="002C500E" w:rsidRPr="00AB7B7E">
        <w:t xml:space="preserve">v </w:t>
      </w:r>
      <w:proofErr w:type="spellStart"/>
      <w:r w:rsidR="002C500E" w:rsidRPr="00AB7B7E">
        <w:t>Nuttall</w:t>
      </w:r>
      <w:proofErr w:type="spellEnd"/>
      <w:r w:rsidR="002C500E" w:rsidRPr="00AB7B7E">
        <w:t>,</w:t>
      </w:r>
      <w:r w:rsidR="002C500E">
        <w:t xml:space="preserve"> 28</w:t>
      </w:r>
      <w:r w:rsidR="002C500E" w:rsidRPr="00AB7B7E">
        <w:t>:2012</w:t>
      </w:r>
      <w:r w:rsidR="002C500E">
        <w:t xml:space="preserve">) </w:t>
      </w:r>
      <w:r w:rsidRPr="00FA144C">
        <w:t>trdi,</w:t>
      </w:r>
      <w:r w:rsidR="002C500E">
        <w:t xml:space="preserve"> da</w:t>
      </w:r>
      <w:r w:rsidRPr="00FA144C">
        <w:t xml:space="preserve"> </w:t>
      </w:r>
      <w:r w:rsidR="002C500E" w:rsidRPr="00FA144C">
        <w:t xml:space="preserve">je </w:t>
      </w:r>
      <w:r w:rsidR="0079111E">
        <w:t>delničarstvo zaposlenih</w:t>
      </w:r>
      <w:r w:rsidR="002C500E">
        <w:t xml:space="preserve"> običajno povezano</w:t>
      </w:r>
      <w:r w:rsidRPr="00FA144C">
        <w:t xml:space="preserve"> z okrepljenim sodelovanjem z vodstvom in da je ta občutek </w:t>
      </w:r>
      <w:r w:rsidR="002C500E">
        <w:t>večje vključenosti pozitivno povezan</w:t>
      </w:r>
      <w:r w:rsidRPr="00FA144C">
        <w:t xml:space="preserve"> z blaginjo</w:t>
      </w:r>
      <w:r w:rsidR="002C500E">
        <w:t xml:space="preserve"> zaposlenih</w:t>
      </w:r>
      <w:r w:rsidRPr="00FA144C">
        <w:t xml:space="preserve">. </w:t>
      </w:r>
      <w:r w:rsidR="002C500E">
        <w:t xml:space="preserve">Nadalje </w:t>
      </w:r>
      <w:r w:rsidR="002C500E" w:rsidRPr="00FA144C">
        <w:t>je tudi bolj verjetno, da bo</w:t>
      </w:r>
      <w:r w:rsidR="002C500E">
        <w:t xml:space="preserve"> do dobrega počutja podrejenih prihajalo v </w:t>
      </w:r>
      <w:r w:rsidR="002C500E" w:rsidRPr="00FA144C">
        <w:t xml:space="preserve">družbah v lasti zaposlenih, ki zaposlenim zagotavljajo večji delež </w:t>
      </w:r>
      <w:r w:rsidR="002C500E">
        <w:t>lastništva in sodelovanje pri uresničevanju</w:t>
      </w:r>
      <w:r w:rsidR="002C500E" w:rsidRPr="00FA144C">
        <w:t xml:space="preserve"> dolgoročnih skupnih ciljev.</w:t>
      </w:r>
    </w:p>
    <w:p w:rsidR="00274D6D" w:rsidRDefault="002C500E" w:rsidP="00274D6D">
      <w:r>
        <w:t xml:space="preserve"> </w:t>
      </w:r>
    </w:p>
    <w:p w:rsidR="006010A0" w:rsidRPr="003448A5" w:rsidRDefault="003448A5" w:rsidP="003448A5">
      <w:pPr>
        <w:rPr>
          <w:b/>
          <w:i/>
        </w:rPr>
      </w:pPr>
      <w:r w:rsidRPr="003448A5">
        <w:rPr>
          <w:b/>
          <w:i/>
        </w:rPr>
        <w:t>Z</w:t>
      </w:r>
      <w:r w:rsidR="006010A0" w:rsidRPr="003448A5">
        <w:rPr>
          <w:b/>
          <w:i/>
        </w:rPr>
        <w:t>manjša</w:t>
      </w:r>
      <w:r w:rsidR="007C45E9" w:rsidRPr="003448A5">
        <w:rPr>
          <w:b/>
          <w:i/>
        </w:rPr>
        <w:t>nje</w:t>
      </w:r>
      <w:r w:rsidRPr="003448A5">
        <w:rPr>
          <w:b/>
          <w:i/>
        </w:rPr>
        <w:t xml:space="preserve"> </w:t>
      </w:r>
      <w:proofErr w:type="spellStart"/>
      <w:r w:rsidRPr="003448A5">
        <w:rPr>
          <w:b/>
          <w:i/>
        </w:rPr>
        <w:t>absentizma</w:t>
      </w:r>
      <w:proofErr w:type="spellEnd"/>
    </w:p>
    <w:p w:rsidR="003448A5" w:rsidRPr="00657ACD" w:rsidRDefault="003448A5" w:rsidP="003448A5">
      <w:pPr>
        <w:rPr>
          <w:b/>
        </w:rPr>
      </w:pPr>
    </w:p>
    <w:p w:rsidR="0036080A" w:rsidRDefault="002C500E" w:rsidP="002C500E">
      <w:r>
        <w:t>Lupine in Wilson</w:t>
      </w:r>
      <w:r w:rsidR="00403C12">
        <w:t xml:space="preserve"> (</w:t>
      </w:r>
      <w:r w:rsidR="00403C12" w:rsidRPr="00AB7B7E">
        <w:t xml:space="preserve">v </w:t>
      </w:r>
      <w:proofErr w:type="spellStart"/>
      <w:r w:rsidR="00403C12" w:rsidRPr="00AB7B7E">
        <w:t>Nuttall</w:t>
      </w:r>
      <w:proofErr w:type="spellEnd"/>
      <w:r w:rsidR="00403C12" w:rsidRPr="00AB7B7E">
        <w:t>,</w:t>
      </w:r>
      <w:r w:rsidR="00403C12">
        <w:t xml:space="preserve"> 28</w:t>
      </w:r>
      <w:r w:rsidR="00403C12" w:rsidRPr="00AB7B7E">
        <w:t>:2012</w:t>
      </w:r>
      <w:r w:rsidR="00403C12">
        <w:t>) sta</w:t>
      </w:r>
      <w:r>
        <w:t xml:space="preserve"> ocenila podatke o zaposlenosti v pr</w:t>
      </w:r>
      <w:r w:rsidR="00403C12">
        <w:t>oizvodni dejavnosti</w:t>
      </w:r>
      <w:r>
        <w:t xml:space="preserve"> v </w:t>
      </w:r>
      <w:r w:rsidR="00403C12">
        <w:t>Združenem kraljestvu</w:t>
      </w:r>
      <w:r>
        <w:t xml:space="preserve"> in ugotovila, da </w:t>
      </w:r>
      <w:r w:rsidR="00403C12">
        <w:t>sheme</w:t>
      </w:r>
      <w:r>
        <w:t xml:space="preserve"> finančne </w:t>
      </w:r>
      <w:r w:rsidR="00403C12">
        <w:t xml:space="preserve">participacije občutno zmanjšujejo </w:t>
      </w:r>
      <w:proofErr w:type="spellStart"/>
      <w:r w:rsidR="00403C12">
        <w:t>absentizem</w:t>
      </w:r>
      <w:proofErr w:type="spellEnd"/>
      <w:r w:rsidR="00403C12">
        <w:t xml:space="preserve"> v podjetjih</w:t>
      </w:r>
      <w:r>
        <w:t xml:space="preserve">. </w:t>
      </w:r>
      <w:r w:rsidR="008A6AE1">
        <w:t xml:space="preserve">Podjetja </w:t>
      </w:r>
      <w:r w:rsidR="0025273E">
        <w:t xml:space="preserve">z udeležbo zaposlenih na dobičku </w:t>
      </w:r>
      <w:r w:rsidR="008A6AE1">
        <w:t>imajo</w:t>
      </w:r>
      <w:r>
        <w:t xml:space="preserve"> </w:t>
      </w:r>
      <w:r w:rsidR="0025273E">
        <w:t>za okoli 8 odstotkov</w:t>
      </w:r>
      <w:r w:rsidR="008A6AE1">
        <w:t xml:space="preserve"> nižjo povprečno stopnjo</w:t>
      </w:r>
      <w:r w:rsidR="00403C12">
        <w:t xml:space="preserve"> odsotnosti z dela</w:t>
      </w:r>
      <w:r w:rsidR="008A6AE1">
        <w:t>,</w:t>
      </w:r>
      <w:r w:rsidR="00403C12">
        <w:t xml:space="preserve"> medtem ko </w:t>
      </w:r>
      <w:r w:rsidR="008A6AE1">
        <w:t>imajo podjetja</w:t>
      </w:r>
      <w:r w:rsidR="0025273E">
        <w:t xml:space="preserve"> z opcijskim načrtom nagrajevanja</w:t>
      </w:r>
      <w:r w:rsidR="008A6AE1">
        <w:t xml:space="preserve"> </w:t>
      </w:r>
      <w:r w:rsidR="0025273E">
        <w:t>(</w:t>
      </w:r>
      <w:r w:rsidR="008A6AE1">
        <w:t>d</w:t>
      </w:r>
      <w:r w:rsidR="0025273E">
        <w:t>elniške opcije), za približno 13 odstotkov</w:t>
      </w:r>
      <w:r w:rsidR="008A6AE1">
        <w:t xml:space="preserve"> nižjo stopnjo</w:t>
      </w:r>
      <w:r>
        <w:t xml:space="preserve"> odsotnosti z dela od povprečja</w:t>
      </w:r>
      <w:r w:rsidR="008A6AE1">
        <w:t xml:space="preserve">. </w:t>
      </w:r>
      <w:r w:rsidR="00A64477">
        <w:t xml:space="preserve">Raziskovala sta tudi učinke finančne participacije na prostovoljno </w:t>
      </w:r>
      <w:proofErr w:type="spellStart"/>
      <w:r w:rsidR="00A64477">
        <w:t>fluktuacijo</w:t>
      </w:r>
      <w:proofErr w:type="spellEnd"/>
      <w:r w:rsidR="00A64477">
        <w:t xml:space="preserve"> zaposlenih in ugotovila, da imajo podjetja z opcijskim načrtom nagrajevanja med 2 in 2,5 odstotki nižjo stopnjo </w:t>
      </w:r>
      <w:proofErr w:type="spellStart"/>
      <w:r w:rsidR="00A64477">
        <w:t>fluktuacije</w:t>
      </w:r>
      <w:proofErr w:type="spellEnd"/>
      <w:r w:rsidR="00A64477">
        <w:t xml:space="preserve"> od povprečja, medtem ko imajo podjetja z udeležbo zaposlenih na dobičku imajo med 1 in 2 odstotki nižjo </w:t>
      </w:r>
      <w:proofErr w:type="spellStart"/>
      <w:r w:rsidR="00A64477">
        <w:t>fluktuacijo</w:t>
      </w:r>
      <w:proofErr w:type="spellEnd"/>
      <w:r w:rsidR="00A64477">
        <w:t xml:space="preserve"> zaposlenih.  </w:t>
      </w:r>
    </w:p>
    <w:p w:rsidR="008A6AE1" w:rsidRDefault="002C500E" w:rsidP="0036080A">
      <w:pPr>
        <w:ind w:firstLine="708"/>
      </w:pPr>
      <w:r>
        <w:t xml:space="preserve">Brown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 w:rsidR="008A6AE1">
        <w:t>(</w:t>
      </w:r>
      <w:r w:rsidR="008A6AE1" w:rsidRPr="00AB7B7E">
        <w:t xml:space="preserve">v </w:t>
      </w:r>
      <w:proofErr w:type="spellStart"/>
      <w:r w:rsidR="008A6AE1" w:rsidRPr="00AB7B7E">
        <w:t>Nuttall</w:t>
      </w:r>
      <w:proofErr w:type="spellEnd"/>
      <w:r w:rsidR="008A6AE1" w:rsidRPr="00AB7B7E">
        <w:t>,</w:t>
      </w:r>
      <w:r w:rsidR="008A6AE1">
        <w:t xml:space="preserve"> 28</w:t>
      </w:r>
      <w:r w:rsidR="008A6AE1" w:rsidRPr="00AB7B7E">
        <w:t>:2012</w:t>
      </w:r>
      <w:r w:rsidR="008A6AE1">
        <w:t xml:space="preserve">), </w:t>
      </w:r>
      <w:r>
        <w:t xml:space="preserve">ki </w:t>
      </w:r>
      <w:r w:rsidR="007F0A2C">
        <w:t>je raziskoval francoska podjet</w:t>
      </w:r>
      <w:r>
        <w:t>j</w:t>
      </w:r>
      <w:r w:rsidR="007F0A2C">
        <w:t>a</w:t>
      </w:r>
      <w:r>
        <w:t xml:space="preserve">, je </w:t>
      </w:r>
      <w:r w:rsidR="008A6AE1">
        <w:t>ugotovil, da je v podjetjih</w:t>
      </w:r>
      <w:r w:rsidR="00B62535">
        <w:t>, ki so v</w:t>
      </w:r>
      <w:r w:rsidR="008A6AE1">
        <w:t xml:space="preserve"> lasti</w:t>
      </w:r>
      <w:r w:rsidR="00B62535">
        <w:t xml:space="preserve"> zaposlenih</w:t>
      </w:r>
      <w:r>
        <w:t xml:space="preserve"> </w:t>
      </w:r>
      <w:r w:rsidR="007F0A2C">
        <w:t>odsotnost</w:t>
      </w:r>
      <w:r w:rsidR="008A6AE1">
        <w:t xml:space="preserve"> zaposlenih </w:t>
      </w:r>
      <w:r w:rsidR="00B62535">
        <w:t>manjša</w:t>
      </w:r>
      <w:r w:rsidR="007F0A2C">
        <w:t xml:space="preserve"> </w:t>
      </w:r>
      <w:r w:rsidR="008A6AE1">
        <w:t>za 14 odstotkov</w:t>
      </w:r>
      <w:r>
        <w:t>, medtem ko je</w:t>
      </w:r>
      <w:r w:rsidR="008A6AE1">
        <w:t xml:space="preserve"> v podjetjih</w:t>
      </w:r>
      <w:r>
        <w:t xml:space="preserve"> </w:t>
      </w:r>
      <w:r w:rsidR="008A6AE1">
        <w:t>z udeležbo zaposlenih na dobičku</w:t>
      </w:r>
      <w:r>
        <w:t xml:space="preserve"> </w:t>
      </w:r>
      <w:r w:rsidR="00B62535">
        <w:t>odsotnost zaposlenih manjša</w:t>
      </w:r>
      <w:r w:rsidR="008A6AE1">
        <w:t xml:space="preserve"> za 7 odstotkov</w:t>
      </w:r>
      <w:r>
        <w:t>.</w:t>
      </w:r>
    </w:p>
    <w:p w:rsidR="00A64477" w:rsidRDefault="002C500E" w:rsidP="0036080A">
      <w:pPr>
        <w:ind w:firstLine="708"/>
      </w:pPr>
      <w:r>
        <w:t xml:space="preserve">Blasi,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 w:rsidR="00A64477">
        <w:t>(</w:t>
      </w:r>
      <w:r w:rsidR="00A64477" w:rsidRPr="00AB7B7E">
        <w:t xml:space="preserve">v </w:t>
      </w:r>
      <w:proofErr w:type="spellStart"/>
      <w:r w:rsidR="00A64477" w:rsidRPr="00AB7B7E">
        <w:t>Nuttall</w:t>
      </w:r>
      <w:proofErr w:type="spellEnd"/>
      <w:r w:rsidR="00A64477" w:rsidRPr="00AB7B7E">
        <w:t>,</w:t>
      </w:r>
      <w:r w:rsidR="00A64477">
        <w:t xml:space="preserve"> 28</w:t>
      </w:r>
      <w:r w:rsidR="00A64477" w:rsidRPr="00AB7B7E">
        <w:t>:2012</w:t>
      </w:r>
      <w:r w:rsidR="00A64477">
        <w:t xml:space="preserve">) </w:t>
      </w:r>
      <w:r>
        <w:t>je</w:t>
      </w:r>
      <w:r w:rsidR="00B62535">
        <w:t xml:space="preserve"> v svoji študiji pro</w:t>
      </w:r>
      <w:r w:rsidR="00A64477">
        <w:t>učeval</w:t>
      </w:r>
      <w:r>
        <w:t xml:space="preserve"> odnos med </w:t>
      </w:r>
      <w:r w:rsidR="00A64477">
        <w:t xml:space="preserve">različnimi oblikami finančne participacije in rezultati zaposlenih na delovnem mestu, vključno z </w:t>
      </w:r>
      <w:proofErr w:type="spellStart"/>
      <w:r w:rsidR="00A64477">
        <w:t>absentizmom</w:t>
      </w:r>
      <w:proofErr w:type="spellEnd"/>
      <w:r w:rsidR="00A64477">
        <w:t xml:space="preserve">. Ugotovil je, da različne oblike finančne participacije zmanjšujejo izostanke na delovnem mestu, če </w:t>
      </w:r>
      <w:r w:rsidR="0039457F">
        <w:t xml:space="preserve">podprte z različnimi oblikami politike človeških virov. To potrjuje zgoraj navedeno dejstvo, da morajo podjetja </w:t>
      </w:r>
      <w:r w:rsidR="002A2493">
        <w:t xml:space="preserve">v lasti </w:t>
      </w:r>
      <w:r w:rsidR="0039457F">
        <w:t>zaposlenih, če želijo izboljšati svojo poslovno učinkovitost, združiti lastniški delež zaposlenih v podjetju z ustreznimi oblikami sodelovanja zaposlenih.</w:t>
      </w:r>
    </w:p>
    <w:p w:rsidR="006B4DA3" w:rsidRDefault="006B4DA3" w:rsidP="002C500E"/>
    <w:p w:rsidR="0009680D" w:rsidRPr="00985E07" w:rsidRDefault="006B4DA3">
      <w:pPr>
        <w:rPr>
          <w:i/>
          <w:sz w:val="22"/>
          <w:szCs w:val="22"/>
        </w:rPr>
      </w:pPr>
      <w:r w:rsidRPr="00985E07">
        <w:rPr>
          <w:b/>
          <w:i/>
          <w:sz w:val="22"/>
          <w:szCs w:val="22"/>
        </w:rPr>
        <w:lastRenderedPageBreak/>
        <w:t>Vir:</w:t>
      </w:r>
      <w:r w:rsidRPr="00985E07">
        <w:rPr>
          <w:i/>
          <w:sz w:val="22"/>
          <w:szCs w:val="22"/>
        </w:rPr>
        <w:t xml:space="preserve"> </w:t>
      </w:r>
      <w:proofErr w:type="spellStart"/>
      <w:r w:rsidRPr="00985E07">
        <w:rPr>
          <w:i/>
          <w:sz w:val="22"/>
          <w:szCs w:val="22"/>
        </w:rPr>
        <w:t>Nuttall</w:t>
      </w:r>
      <w:proofErr w:type="spellEnd"/>
      <w:r w:rsidRPr="00985E07">
        <w:rPr>
          <w:i/>
          <w:sz w:val="22"/>
          <w:szCs w:val="22"/>
        </w:rPr>
        <w:t xml:space="preserve">, </w:t>
      </w:r>
      <w:proofErr w:type="spellStart"/>
      <w:r w:rsidRPr="00985E07">
        <w:rPr>
          <w:i/>
          <w:sz w:val="22"/>
          <w:szCs w:val="22"/>
        </w:rPr>
        <w:t>Graeme</w:t>
      </w:r>
      <w:proofErr w:type="spellEnd"/>
      <w:r w:rsidRPr="00985E07">
        <w:rPr>
          <w:i/>
          <w:sz w:val="22"/>
          <w:szCs w:val="22"/>
        </w:rPr>
        <w:t xml:space="preserve">. 2012. </w:t>
      </w:r>
      <w:proofErr w:type="spellStart"/>
      <w:r w:rsidRPr="00985E07">
        <w:rPr>
          <w:i/>
          <w:sz w:val="22"/>
          <w:szCs w:val="22"/>
        </w:rPr>
        <w:t>Sharing</w:t>
      </w:r>
      <w:proofErr w:type="spellEnd"/>
      <w:r w:rsidRPr="00985E07">
        <w:rPr>
          <w:i/>
          <w:sz w:val="22"/>
          <w:szCs w:val="22"/>
        </w:rPr>
        <w:t xml:space="preserve"> </w:t>
      </w:r>
      <w:proofErr w:type="spellStart"/>
      <w:r w:rsidRPr="00985E07">
        <w:rPr>
          <w:i/>
          <w:sz w:val="22"/>
          <w:szCs w:val="22"/>
        </w:rPr>
        <w:t>Success</w:t>
      </w:r>
      <w:proofErr w:type="spellEnd"/>
      <w:r w:rsidRPr="00985E07">
        <w:rPr>
          <w:i/>
          <w:sz w:val="22"/>
          <w:szCs w:val="22"/>
        </w:rPr>
        <w:t>:</w:t>
      </w:r>
      <w:r w:rsidRPr="00985E07">
        <w:rPr>
          <w:b/>
          <w:i/>
          <w:sz w:val="22"/>
          <w:szCs w:val="22"/>
        </w:rPr>
        <w:t xml:space="preserve"> </w:t>
      </w:r>
      <w:proofErr w:type="spellStart"/>
      <w:r w:rsidRPr="00985E07">
        <w:rPr>
          <w:i/>
          <w:sz w:val="22"/>
          <w:szCs w:val="22"/>
        </w:rPr>
        <w:t>The</w:t>
      </w:r>
      <w:proofErr w:type="spellEnd"/>
      <w:r w:rsidRPr="00985E07">
        <w:rPr>
          <w:i/>
          <w:sz w:val="22"/>
          <w:szCs w:val="22"/>
        </w:rPr>
        <w:t xml:space="preserve"> </w:t>
      </w:r>
      <w:proofErr w:type="spellStart"/>
      <w:r w:rsidRPr="00985E07">
        <w:rPr>
          <w:i/>
          <w:sz w:val="22"/>
          <w:szCs w:val="22"/>
        </w:rPr>
        <w:t>Nuttall</w:t>
      </w:r>
      <w:proofErr w:type="spellEnd"/>
      <w:r w:rsidRPr="00985E07">
        <w:rPr>
          <w:i/>
          <w:sz w:val="22"/>
          <w:szCs w:val="22"/>
        </w:rPr>
        <w:t xml:space="preserve"> </w:t>
      </w:r>
      <w:proofErr w:type="spellStart"/>
      <w:r w:rsidRPr="00985E07">
        <w:rPr>
          <w:i/>
          <w:sz w:val="22"/>
          <w:szCs w:val="22"/>
        </w:rPr>
        <w:t>review</w:t>
      </w:r>
      <w:proofErr w:type="spellEnd"/>
      <w:r w:rsidRPr="00985E07">
        <w:rPr>
          <w:i/>
          <w:sz w:val="22"/>
          <w:szCs w:val="22"/>
        </w:rPr>
        <w:t xml:space="preserve"> </w:t>
      </w:r>
      <w:proofErr w:type="spellStart"/>
      <w:r w:rsidRPr="00985E07">
        <w:rPr>
          <w:i/>
          <w:sz w:val="22"/>
          <w:szCs w:val="22"/>
        </w:rPr>
        <w:t>of</w:t>
      </w:r>
      <w:proofErr w:type="spellEnd"/>
      <w:r w:rsidRPr="00985E07">
        <w:rPr>
          <w:i/>
          <w:sz w:val="22"/>
          <w:szCs w:val="22"/>
        </w:rPr>
        <w:t xml:space="preserve"> </w:t>
      </w:r>
      <w:proofErr w:type="spellStart"/>
      <w:r w:rsidRPr="00985E07">
        <w:rPr>
          <w:i/>
          <w:sz w:val="22"/>
          <w:szCs w:val="22"/>
        </w:rPr>
        <w:t>Employee</w:t>
      </w:r>
      <w:proofErr w:type="spellEnd"/>
      <w:r w:rsidRPr="00985E07">
        <w:rPr>
          <w:i/>
          <w:sz w:val="22"/>
          <w:szCs w:val="22"/>
        </w:rPr>
        <w:t xml:space="preserve">  </w:t>
      </w:r>
      <w:proofErr w:type="spellStart"/>
      <w:r w:rsidRPr="00985E07">
        <w:rPr>
          <w:i/>
          <w:sz w:val="22"/>
          <w:szCs w:val="22"/>
        </w:rPr>
        <w:t>Ownership</w:t>
      </w:r>
      <w:proofErr w:type="spellEnd"/>
      <w:r w:rsidRPr="00985E07">
        <w:rPr>
          <w:i/>
          <w:sz w:val="22"/>
          <w:szCs w:val="22"/>
        </w:rPr>
        <w:t xml:space="preserve">. Dostopno prek: </w:t>
      </w:r>
      <w:hyperlink r:id="rId8" w:history="1">
        <w:r w:rsidR="00A86AF0" w:rsidRPr="00985E07">
          <w:rPr>
            <w:rStyle w:val="Hiperpovezava"/>
            <w:i/>
            <w:sz w:val="22"/>
            <w:szCs w:val="22"/>
          </w:rPr>
          <w:t>http://www.bis.gov.uk/assets/BISCore/business-law/docs/S/12-933-sharing-success-nuttall-review-employee-ownership.pdf</w:t>
        </w:r>
      </w:hyperlink>
      <w:r w:rsidR="00A86AF0" w:rsidRPr="00985E07">
        <w:rPr>
          <w:i/>
          <w:sz w:val="22"/>
          <w:szCs w:val="22"/>
        </w:rPr>
        <w:t xml:space="preserve">  </w:t>
      </w:r>
      <w:r w:rsidRPr="00985E07">
        <w:rPr>
          <w:i/>
          <w:sz w:val="22"/>
          <w:szCs w:val="22"/>
        </w:rPr>
        <w:t xml:space="preserve">(7. januar </w:t>
      </w:r>
      <w:r w:rsidR="00A86AF0" w:rsidRPr="00985E07">
        <w:rPr>
          <w:i/>
          <w:sz w:val="22"/>
          <w:szCs w:val="22"/>
        </w:rPr>
        <w:t>2013</w:t>
      </w:r>
      <w:r w:rsidRPr="00985E07">
        <w:rPr>
          <w:i/>
          <w:sz w:val="22"/>
          <w:szCs w:val="22"/>
        </w:rPr>
        <w:t>).</w:t>
      </w:r>
    </w:p>
    <w:p w:rsidR="00985E07" w:rsidRDefault="00985E07">
      <w:pPr>
        <w:rPr>
          <w:sz w:val="22"/>
          <w:szCs w:val="22"/>
        </w:rPr>
      </w:pPr>
    </w:p>
    <w:p w:rsidR="00985E07" w:rsidRDefault="00985E07">
      <w:pPr>
        <w:rPr>
          <w:sz w:val="22"/>
          <w:szCs w:val="22"/>
        </w:rPr>
      </w:pPr>
    </w:p>
    <w:p w:rsidR="00034A60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B4DA3">
        <w:rPr>
          <w:b/>
          <w:szCs w:val="24"/>
        </w:rPr>
        <w:t xml:space="preserve">Primer: </w:t>
      </w:r>
      <w:r>
        <w:rPr>
          <w:b/>
          <w:szCs w:val="24"/>
        </w:rPr>
        <w:t>Delničarstvo zaposlenih</w:t>
      </w:r>
      <w:r w:rsidRPr="006B4DA3">
        <w:rPr>
          <w:b/>
          <w:szCs w:val="24"/>
        </w:rPr>
        <w:t xml:space="preserve"> kot spretna rešitev poslovnega nasledstva</w:t>
      </w:r>
    </w:p>
    <w:p w:rsidR="00034A60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4A60" w:rsidRPr="00034A60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6B4DA3">
        <w:rPr>
          <w:i/>
          <w:sz w:val="22"/>
          <w:szCs w:val="22"/>
        </w:rPr>
        <w:t xml:space="preserve">V spodaj opisanem primeru </w:t>
      </w:r>
      <w:r>
        <w:rPr>
          <w:i/>
          <w:sz w:val="22"/>
          <w:szCs w:val="22"/>
        </w:rPr>
        <w:t>gre za praktičen</w:t>
      </w:r>
      <w:r w:rsidRPr="006B4DA3">
        <w:rPr>
          <w:i/>
          <w:sz w:val="22"/>
          <w:szCs w:val="22"/>
        </w:rPr>
        <w:t xml:space="preserve"> pr</w:t>
      </w:r>
      <w:r>
        <w:rPr>
          <w:i/>
          <w:sz w:val="22"/>
          <w:szCs w:val="22"/>
        </w:rPr>
        <w:t>ikaz</w:t>
      </w:r>
      <w:r w:rsidRPr="006B4DA3">
        <w:rPr>
          <w:i/>
          <w:sz w:val="22"/>
          <w:szCs w:val="22"/>
        </w:rPr>
        <w:t xml:space="preserve"> ovir, ki so navedene v tem pregledu delničarstva zaposlenih v Združenem kraljestvu. Gre za hipotetični primer lastnika, ki razmišlja o prehodu podjetja v last zaposlenih kot o nasledstveni rešitvi. Predstavitev primera je dana v razmislek o tem, kako verjetno je, da bo ta scenarij uresničen glede na sedanje</w:t>
      </w:r>
      <w:r>
        <w:rPr>
          <w:i/>
          <w:sz w:val="22"/>
          <w:szCs w:val="22"/>
        </w:rPr>
        <w:t xml:space="preserve"> slabo</w:t>
      </w:r>
      <w:r w:rsidRPr="006B4DA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poznavanje koncepta</w:t>
      </w:r>
      <w:r w:rsidRPr="006B4DA3">
        <w:rPr>
          <w:i/>
          <w:sz w:val="22"/>
          <w:szCs w:val="22"/>
        </w:rPr>
        <w:t xml:space="preserve"> delničarstva zaposlenih in pomanjkanje sredstev, ki so na voljo. Spodaj predstavljen scenarij ne odraža obstoječih in predlaganih usmeritev podanih s strani vlade.</w:t>
      </w:r>
    </w:p>
    <w:p w:rsidR="00034A60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Lastnik uspešnega zasebnega trgovskega podjetja se želi v prihodnjih letih upokojiti. Podjetje želi predati naprej, vendar ni v njegovi družini nihče pripravljen tega prevzeti. Konkurentom ne želi prodajati svojega podjetja, zato razmišlja o prodaji podjetja svojim zaposlenim. Izračuni, ki jih je opravil, kažejo, da je </w:t>
      </w:r>
      <w:r>
        <w:rPr>
          <w:sz w:val="22"/>
          <w:szCs w:val="22"/>
        </w:rPr>
        <w:t>delničarstvo zaposlenih</w:t>
      </w:r>
      <w:r w:rsidRPr="006B4DA3">
        <w:rPr>
          <w:sz w:val="22"/>
          <w:szCs w:val="22"/>
        </w:rPr>
        <w:t xml:space="preserve"> finančno izvedljiva rešitev poslovnega nasledstva. 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79111E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79111E">
        <w:rPr>
          <w:i/>
          <w:sz w:val="22"/>
          <w:szCs w:val="22"/>
        </w:rPr>
        <w:t>V nadaljevanju je prikazan način, kako lahko model lastništva zaposlenih uporabimo kot dobro rešitev poslovnega nasledstva ob podpori s strani strokovnih svetovalcev, bančnega in davčnega sektorja: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Lastnik obišče odvetnika družbe, ki potrdi, da je </w:t>
      </w:r>
      <w:r>
        <w:rPr>
          <w:sz w:val="22"/>
          <w:szCs w:val="22"/>
        </w:rPr>
        <w:t>delničarstvo zaposlenih</w:t>
      </w:r>
      <w:r w:rsidRPr="006B4DA3">
        <w:rPr>
          <w:sz w:val="22"/>
          <w:szCs w:val="22"/>
        </w:rPr>
        <w:t xml:space="preserve"> preizkušen poslovni model, ki se bi v tem primeru dobro obnesel. S pravnega vidika je naprej potrebno oblikovati poseben sklad zaposlenih (angl. </w:t>
      </w:r>
      <w:proofErr w:type="spellStart"/>
      <w:r w:rsidRPr="006B4DA3">
        <w:rPr>
          <w:i/>
          <w:sz w:val="22"/>
          <w:szCs w:val="22"/>
        </w:rPr>
        <w:t>employee</w:t>
      </w:r>
      <w:proofErr w:type="spellEnd"/>
      <w:r w:rsidRPr="006B4DA3">
        <w:rPr>
          <w:i/>
          <w:sz w:val="22"/>
          <w:szCs w:val="22"/>
        </w:rPr>
        <w:t xml:space="preserve"> </w:t>
      </w:r>
      <w:proofErr w:type="spellStart"/>
      <w:r w:rsidRPr="006B4DA3">
        <w:rPr>
          <w:i/>
          <w:sz w:val="22"/>
          <w:szCs w:val="22"/>
        </w:rPr>
        <w:t>benefit</w:t>
      </w:r>
      <w:proofErr w:type="spellEnd"/>
      <w:r w:rsidRPr="006B4DA3">
        <w:rPr>
          <w:i/>
          <w:sz w:val="22"/>
          <w:szCs w:val="22"/>
        </w:rPr>
        <w:t xml:space="preserve"> </w:t>
      </w:r>
      <w:proofErr w:type="spellStart"/>
      <w:r w:rsidRPr="006B4DA3">
        <w:rPr>
          <w:i/>
          <w:sz w:val="22"/>
          <w:szCs w:val="22"/>
        </w:rPr>
        <w:t>trust</w:t>
      </w:r>
      <w:proofErr w:type="spellEnd"/>
      <w:r w:rsidRPr="006B4DA3">
        <w:rPr>
          <w:sz w:val="22"/>
          <w:szCs w:val="22"/>
        </w:rPr>
        <w:t xml:space="preserve">) in se dogovoriti o skrbnikih. Smiselno bi bilo razmisliti o ustanovitvi družbe, ki bi delovala kot skrbnik/upravitelj podjetja. To pomeni, da trgovska družba po preteku določenega obdobja prispeva donacije za sklad zaposlenih, ki jih nato uporabijo za nakup delnic osnovne družbe, v kateri so udeleženci/delničarji sklada zaposleni. Na ta način se bo družba preoblikovala v družbo v lasti zaposlenih. Odvetnik potrdi, da bo pri </w:t>
      </w:r>
      <w:r>
        <w:rPr>
          <w:sz w:val="22"/>
          <w:szCs w:val="22"/>
        </w:rPr>
        <w:t xml:space="preserve">računovodji družbe preveril katere </w:t>
      </w:r>
      <w:r w:rsidRPr="006B4DA3">
        <w:rPr>
          <w:sz w:val="22"/>
          <w:szCs w:val="22"/>
        </w:rPr>
        <w:t xml:space="preserve">davčne </w:t>
      </w:r>
      <w:r>
        <w:rPr>
          <w:sz w:val="22"/>
          <w:szCs w:val="22"/>
        </w:rPr>
        <w:t>predpise</w:t>
      </w:r>
      <w:r w:rsidRPr="006B4DA3">
        <w:rPr>
          <w:sz w:val="22"/>
          <w:szCs w:val="22"/>
        </w:rPr>
        <w:t xml:space="preserve"> </w:t>
      </w:r>
      <w:r>
        <w:rPr>
          <w:sz w:val="22"/>
          <w:szCs w:val="22"/>
        </w:rPr>
        <w:t>je pri tem potrebno upoštevati</w:t>
      </w:r>
      <w:r w:rsidRPr="006B4DA3">
        <w:rPr>
          <w:sz w:val="22"/>
          <w:szCs w:val="22"/>
        </w:rPr>
        <w:t>.</w:t>
      </w:r>
    </w:p>
    <w:p w:rsidR="00034A60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Lastnik se sestane z računovodjem podjetja, ki prav tako potrdi, da je uvedba </w:t>
      </w:r>
      <w:r>
        <w:rPr>
          <w:sz w:val="22"/>
          <w:szCs w:val="22"/>
        </w:rPr>
        <w:t>del</w:t>
      </w:r>
      <w:r w:rsidRPr="006B4DA3">
        <w:rPr>
          <w:sz w:val="22"/>
          <w:szCs w:val="22"/>
        </w:rPr>
        <w:t>ni</w:t>
      </w:r>
      <w:r>
        <w:rPr>
          <w:sz w:val="22"/>
          <w:szCs w:val="22"/>
        </w:rPr>
        <w:t>čars</w:t>
      </w:r>
      <w:r w:rsidRPr="006B4DA3">
        <w:rPr>
          <w:sz w:val="22"/>
          <w:szCs w:val="22"/>
        </w:rPr>
        <w:t xml:space="preserve">tva zaposlenih izvedljiva nasledstvena rešitev. Računovodja preveri izračune lastnika podjetja in pojasni računovodske in davčne posledice predloga. Davčna in računovodska obravnava sklada zaposlenih in upravitelja družbe je </w:t>
      </w:r>
      <w:r>
        <w:rPr>
          <w:sz w:val="22"/>
          <w:szCs w:val="22"/>
        </w:rPr>
        <w:t>naslednja</w:t>
      </w:r>
      <w:r w:rsidRPr="006B4DA3">
        <w:rPr>
          <w:sz w:val="22"/>
          <w:szCs w:val="22"/>
        </w:rPr>
        <w:t xml:space="preserve">; trgovski družbi ne pripada davčna olajšava za prispevke, ki jih nakazuje v sklad zaposlenih, za lastnike/zaposlene pa </w:t>
      </w:r>
      <w:r>
        <w:rPr>
          <w:sz w:val="22"/>
          <w:szCs w:val="22"/>
        </w:rPr>
        <w:t>ti prispevki predstavljajo</w:t>
      </w:r>
      <w:r w:rsidRPr="006B4DA3">
        <w:rPr>
          <w:sz w:val="22"/>
          <w:szCs w:val="22"/>
        </w:rPr>
        <w:t xml:space="preserve"> porast njihovega kapitala.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>Lastnik o načrtu seznani svojo banko. Banka pravi, da pozna tovrstne načine  preoblikovanja družb in če je lastnik zainteresiran, bi bila podjetju pripravljena posojati denar za financiranje prispevkov v sklad zaposlenih.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Lastnik se o svoji zamisli o </w:t>
      </w:r>
      <w:r>
        <w:rPr>
          <w:sz w:val="22"/>
          <w:szCs w:val="22"/>
        </w:rPr>
        <w:t>delničars</w:t>
      </w:r>
      <w:r w:rsidRPr="006B4DA3">
        <w:rPr>
          <w:sz w:val="22"/>
          <w:szCs w:val="22"/>
        </w:rPr>
        <w:t>tvu zaposlenih zaupno pogovori s svoji poslovnimi prijatelji, ki podprejo njegovo zamisel.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Lastnik pojasni svojo idejo ožjemu vodstvu podjetja, ki idejo pozdravi in  hkrati prizna, da so že sami razmišljali o tej obliki poslovnega nasledstva. Ožje vodstvo podjetja želi najprej okrepiti vključenost zaposlenih v podjetju. Dogovorijo se, da je v ožjem vodstvu potrebno zaposliti nekaj novih članov s čimer bi nadomestili znanja in veščine, ki bi se lahko sicer ob upokojitvi sedanjega lastnika izgubile. Vodstvo je prepričano, da bi ostali zaposleni to idejo podprli. 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Lastnik ima nadaljnje pogovore z odvetnikom in računovodjo družbe tudi o tem, kako ovrednotiti njegove deleže. Svoje svetovalce spodbudi, da skupaj z davčno upravo (angl. </w:t>
      </w:r>
      <w:r w:rsidRPr="006B4DA3">
        <w:rPr>
          <w:i/>
          <w:sz w:val="22"/>
          <w:szCs w:val="22"/>
        </w:rPr>
        <w:t xml:space="preserve">HM </w:t>
      </w:r>
      <w:proofErr w:type="spellStart"/>
      <w:r w:rsidRPr="006B4DA3">
        <w:rPr>
          <w:i/>
          <w:sz w:val="22"/>
          <w:szCs w:val="22"/>
        </w:rPr>
        <w:t>Revenue</w:t>
      </w:r>
      <w:proofErr w:type="spellEnd"/>
      <w:r w:rsidRPr="006B4DA3">
        <w:rPr>
          <w:i/>
          <w:sz w:val="22"/>
          <w:szCs w:val="22"/>
        </w:rPr>
        <w:t xml:space="preserve"> </w:t>
      </w:r>
      <w:proofErr w:type="spellStart"/>
      <w:r w:rsidRPr="006B4DA3">
        <w:rPr>
          <w:i/>
          <w:sz w:val="22"/>
          <w:szCs w:val="22"/>
        </w:rPr>
        <w:t>and</w:t>
      </w:r>
      <w:proofErr w:type="spellEnd"/>
      <w:r w:rsidRPr="006B4DA3">
        <w:rPr>
          <w:i/>
          <w:sz w:val="22"/>
          <w:szCs w:val="22"/>
        </w:rPr>
        <w:t xml:space="preserve"> </w:t>
      </w:r>
      <w:proofErr w:type="spellStart"/>
      <w:r w:rsidRPr="006B4DA3">
        <w:rPr>
          <w:i/>
          <w:sz w:val="22"/>
          <w:szCs w:val="22"/>
        </w:rPr>
        <w:lastRenderedPageBreak/>
        <w:t>Customs</w:t>
      </w:r>
      <w:proofErr w:type="spellEnd"/>
      <w:r w:rsidRPr="006B4DA3">
        <w:rPr>
          <w:sz w:val="22"/>
          <w:szCs w:val="22"/>
        </w:rPr>
        <w:t xml:space="preserve">) podrobneje preverijo </w:t>
      </w:r>
      <w:r>
        <w:rPr>
          <w:sz w:val="22"/>
          <w:szCs w:val="22"/>
        </w:rPr>
        <w:t xml:space="preserve">odprte </w:t>
      </w:r>
      <w:r w:rsidRPr="006B4DA3">
        <w:rPr>
          <w:sz w:val="22"/>
          <w:szCs w:val="22"/>
        </w:rPr>
        <w:t xml:space="preserve">zadeve. Po razgovoru </w:t>
      </w:r>
      <w:r>
        <w:rPr>
          <w:sz w:val="22"/>
          <w:szCs w:val="22"/>
        </w:rPr>
        <w:t>svetovalci sporočijo</w:t>
      </w:r>
      <w:r w:rsidRPr="006B4DA3">
        <w:rPr>
          <w:sz w:val="22"/>
          <w:szCs w:val="22"/>
        </w:rPr>
        <w:t>, da so prejeli</w:t>
      </w:r>
      <w:r>
        <w:rPr>
          <w:sz w:val="22"/>
          <w:szCs w:val="22"/>
        </w:rPr>
        <w:t xml:space="preserve"> naslednje</w:t>
      </w:r>
      <w:r w:rsidRPr="006B4D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odobritve in </w:t>
      </w:r>
      <w:r w:rsidRPr="006B4DA3">
        <w:rPr>
          <w:sz w:val="22"/>
          <w:szCs w:val="22"/>
        </w:rPr>
        <w:t>potrditve</w:t>
      </w:r>
      <w:r>
        <w:rPr>
          <w:sz w:val="22"/>
          <w:szCs w:val="22"/>
        </w:rPr>
        <w:t>:</w:t>
      </w:r>
    </w:p>
    <w:p w:rsidR="00034A60" w:rsidRPr="006B4DA3" w:rsidRDefault="00034A60" w:rsidP="00034A6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davčna uprava je odobrila osnutek ustanovne listine sklada zaposlenih kot upravičenca do različnih davčnih olajšav </w:t>
      </w:r>
      <w:r>
        <w:rPr>
          <w:sz w:val="22"/>
          <w:szCs w:val="22"/>
        </w:rPr>
        <w:t>pri dedovanju</w:t>
      </w:r>
      <w:r w:rsidRPr="006B4DA3">
        <w:rPr>
          <w:sz w:val="22"/>
          <w:szCs w:val="22"/>
        </w:rPr>
        <w:t>;</w:t>
      </w:r>
    </w:p>
    <w:p w:rsidR="00034A60" w:rsidRPr="006B4DA3" w:rsidRDefault="00034A60" w:rsidP="00034A6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lokalni davčni urad je potrdil, da ni v osnovi potrebna nobena odmera davka skladu zaposlenih in upravitelju družbe, če ta ni prejel nobenega dohodka ali ustvaril dobička; </w:t>
      </w:r>
    </w:p>
    <w:p w:rsidR="00034A60" w:rsidRPr="006B4DA3" w:rsidRDefault="00034A60" w:rsidP="00034A6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>pristojni organ za vrednotenje delnic in sredstev je potrdil, da predlagano vrednotenje ne presega tržne vrednosti, in</w:t>
      </w:r>
    </w:p>
    <w:p w:rsidR="00034A60" w:rsidRPr="006B4DA3" w:rsidRDefault="00034A60" w:rsidP="00034A6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>pristojne skupine</w:t>
      </w:r>
      <w:r w:rsidRPr="006B4DA3">
        <w:rPr>
          <w:rStyle w:val="Sprotnaopomba-sklic"/>
          <w:sz w:val="22"/>
          <w:szCs w:val="22"/>
        </w:rPr>
        <w:footnoteReference w:id="1"/>
      </w:r>
      <w:r w:rsidRPr="006B4DA3">
        <w:rPr>
          <w:sz w:val="22"/>
          <w:szCs w:val="22"/>
        </w:rPr>
        <w:t xml:space="preserve"> so potrdile, da se predlagana izplačila skrbnika podjetja lastnikom podjetja ne bi štele kot prikrite dividende.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>Lastnik in ožje vodstvo predstavi</w:t>
      </w:r>
      <w:r>
        <w:rPr>
          <w:sz w:val="22"/>
          <w:szCs w:val="22"/>
        </w:rPr>
        <w:t>ta</w:t>
      </w:r>
      <w:r w:rsidRPr="006B4DA3">
        <w:rPr>
          <w:sz w:val="22"/>
          <w:szCs w:val="22"/>
        </w:rPr>
        <w:t xml:space="preserve"> predlog zaposlenim in jih spodbudi</w:t>
      </w:r>
      <w:r>
        <w:rPr>
          <w:sz w:val="22"/>
          <w:szCs w:val="22"/>
        </w:rPr>
        <w:t>ta</w:t>
      </w:r>
      <w:r w:rsidRPr="006B4DA3">
        <w:rPr>
          <w:sz w:val="22"/>
          <w:szCs w:val="22"/>
        </w:rPr>
        <w:t xml:space="preserve">, da obiščejo druge družbe v lasti zaposlenih in tako izvejo več o </w:t>
      </w:r>
      <w:r>
        <w:rPr>
          <w:sz w:val="22"/>
          <w:szCs w:val="22"/>
        </w:rPr>
        <w:t>delničarstvu</w:t>
      </w:r>
      <w:r w:rsidRPr="006B4DA3">
        <w:rPr>
          <w:sz w:val="22"/>
          <w:szCs w:val="22"/>
        </w:rPr>
        <w:t xml:space="preserve"> zaposlenih. Osebje sporoči vodstvu in lastniku podjetja, da povsem podpirajo </w:t>
      </w:r>
      <w:r>
        <w:rPr>
          <w:sz w:val="22"/>
          <w:szCs w:val="22"/>
        </w:rPr>
        <w:t>predlagan</w:t>
      </w:r>
      <w:r w:rsidRPr="006B4DA3">
        <w:rPr>
          <w:sz w:val="22"/>
          <w:szCs w:val="22"/>
        </w:rPr>
        <w:t xml:space="preserve"> model lastništva. Zanima jih le, če prve volitve skrbnika sklada zaposlenih že potekajo</w:t>
      </w:r>
      <w:r w:rsidRPr="006B4DA3">
        <w:rPr>
          <w:rStyle w:val="Sprotnaopomba-sklic"/>
          <w:sz w:val="22"/>
          <w:szCs w:val="22"/>
        </w:rPr>
        <w:footnoteReference w:id="2"/>
      </w:r>
      <w:r w:rsidRPr="006B4DA3">
        <w:rPr>
          <w:sz w:val="22"/>
          <w:szCs w:val="22"/>
        </w:rPr>
        <w:t xml:space="preserve">. 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 xml:space="preserve">Lastnik, ožje vodstvo družbe in predstavniki zaposlenih razpravljajo ali bi morali poleg predlaganega sklada zaposlenih uvesti </w:t>
      </w:r>
      <w:r>
        <w:rPr>
          <w:sz w:val="22"/>
          <w:szCs w:val="22"/>
        </w:rPr>
        <w:t xml:space="preserve">tudi </w:t>
      </w:r>
      <w:r w:rsidRPr="006B4DA3">
        <w:rPr>
          <w:sz w:val="22"/>
          <w:szCs w:val="22"/>
        </w:rPr>
        <w:t>individualno lastništvo delnic. Sklenejo, da trenutno ni neposredne potrebe, da to storijo, vendar pa bodo o tej ideji še razpravljali.</w:t>
      </w: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34A60" w:rsidRPr="006B4DA3" w:rsidRDefault="00034A60" w:rsidP="0003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B4DA3">
        <w:rPr>
          <w:sz w:val="22"/>
          <w:szCs w:val="22"/>
        </w:rPr>
        <w:t>Svetovalci lastniku podajo še podrobnejše napotke o tem, kako zaključiti prenos poslovnega nasledstva. Lastnik se upokoji in podjetje, ki ga je ustanovil</w:t>
      </w:r>
      <w:r>
        <w:rPr>
          <w:sz w:val="22"/>
          <w:szCs w:val="22"/>
        </w:rPr>
        <w:t>,</w:t>
      </w:r>
      <w:r w:rsidRPr="006B4DA3">
        <w:rPr>
          <w:sz w:val="22"/>
          <w:szCs w:val="22"/>
        </w:rPr>
        <w:t xml:space="preserve"> zapusti svojim zaposlenim.</w:t>
      </w:r>
    </w:p>
    <w:p w:rsidR="00A86AF0" w:rsidRDefault="00A86AF0"/>
    <w:sectPr w:rsidR="00A86AF0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14" w:rsidRDefault="00646714">
      <w:r>
        <w:separator/>
      </w:r>
    </w:p>
  </w:endnote>
  <w:endnote w:type="continuationSeparator" w:id="0">
    <w:p w:rsidR="00646714" w:rsidRDefault="006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14" w:rsidRDefault="00646714">
      <w:r>
        <w:separator/>
      </w:r>
    </w:p>
  </w:footnote>
  <w:footnote w:type="continuationSeparator" w:id="0">
    <w:p w:rsidR="00646714" w:rsidRDefault="00646714">
      <w:r>
        <w:continuationSeparator/>
      </w:r>
    </w:p>
  </w:footnote>
  <w:footnote w:id="1">
    <w:p w:rsidR="00034A60" w:rsidRPr="006B4DA3" w:rsidRDefault="00034A60" w:rsidP="00034A60">
      <w:pPr>
        <w:pStyle w:val="Sprotnaopomba-besedilo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6B4DA3">
        <w:rPr>
          <w:i/>
          <w:sz w:val="18"/>
          <w:szCs w:val="18"/>
        </w:rPr>
        <w:t>The</w:t>
      </w:r>
      <w:proofErr w:type="spellEnd"/>
      <w:r w:rsidRPr="006B4DA3">
        <w:rPr>
          <w:i/>
          <w:sz w:val="18"/>
          <w:szCs w:val="18"/>
        </w:rPr>
        <w:t xml:space="preserve"> </w:t>
      </w:r>
      <w:proofErr w:type="spellStart"/>
      <w:r w:rsidRPr="006B4DA3">
        <w:rPr>
          <w:i/>
          <w:sz w:val="18"/>
          <w:szCs w:val="18"/>
        </w:rPr>
        <w:t>Clearance</w:t>
      </w:r>
      <w:proofErr w:type="spellEnd"/>
      <w:r w:rsidRPr="006B4DA3">
        <w:rPr>
          <w:i/>
          <w:sz w:val="18"/>
          <w:szCs w:val="18"/>
        </w:rPr>
        <w:t xml:space="preserve"> </w:t>
      </w:r>
      <w:proofErr w:type="spellStart"/>
      <w:r w:rsidRPr="006B4DA3">
        <w:rPr>
          <w:i/>
          <w:sz w:val="18"/>
          <w:szCs w:val="18"/>
        </w:rPr>
        <w:t>and</w:t>
      </w:r>
      <w:proofErr w:type="spellEnd"/>
      <w:r w:rsidRPr="006B4DA3">
        <w:rPr>
          <w:i/>
          <w:sz w:val="18"/>
          <w:szCs w:val="18"/>
        </w:rPr>
        <w:t xml:space="preserve"> </w:t>
      </w:r>
      <w:proofErr w:type="spellStart"/>
      <w:r w:rsidRPr="006B4DA3">
        <w:rPr>
          <w:i/>
          <w:sz w:val="18"/>
          <w:szCs w:val="18"/>
        </w:rPr>
        <w:t>Counteraction</w:t>
      </w:r>
      <w:proofErr w:type="spellEnd"/>
      <w:r w:rsidRPr="006B4DA3">
        <w:rPr>
          <w:i/>
          <w:sz w:val="18"/>
          <w:szCs w:val="18"/>
        </w:rPr>
        <w:t xml:space="preserve"> Team </w:t>
      </w:r>
      <w:proofErr w:type="spellStart"/>
      <w:r w:rsidRPr="006B4DA3">
        <w:rPr>
          <w:i/>
          <w:sz w:val="18"/>
          <w:szCs w:val="18"/>
        </w:rPr>
        <w:t>and</w:t>
      </w:r>
      <w:proofErr w:type="spellEnd"/>
      <w:r w:rsidRPr="006B4DA3">
        <w:rPr>
          <w:i/>
          <w:sz w:val="18"/>
          <w:szCs w:val="18"/>
        </w:rPr>
        <w:t xml:space="preserve"> </w:t>
      </w:r>
      <w:proofErr w:type="spellStart"/>
      <w:r w:rsidRPr="006B4DA3">
        <w:rPr>
          <w:i/>
          <w:sz w:val="18"/>
          <w:szCs w:val="18"/>
        </w:rPr>
        <w:t>Anti</w:t>
      </w:r>
      <w:proofErr w:type="spellEnd"/>
      <w:r w:rsidRPr="006B4DA3">
        <w:rPr>
          <w:i/>
          <w:sz w:val="18"/>
          <w:szCs w:val="18"/>
        </w:rPr>
        <w:t>-</w:t>
      </w:r>
      <w:proofErr w:type="spellStart"/>
      <w:r w:rsidRPr="006B4DA3">
        <w:rPr>
          <w:i/>
          <w:sz w:val="18"/>
          <w:szCs w:val="18"/>
        </w:rPr>
        <w:t>Avoidance</w:t>
      </w:r>
      <w:proofErr w:type="spellEnd"/>
      <w:r w:rsidRPr="006B4DA3">
        <w:rPr>
          <w:i/>
          <w:sz w:val="18"/>
          <w:szCs w:val="18"/>
        </w:rPr>
        <w:t xml:space="preserve"> </w:t>
      </w:r>
      <w:proofErr w:type="spellStart"/>
      <w:r w:rsidRPr="006B4DA3">
        <w:rPr>
          <w:i/>
          <w:sz w:val="18"/>
          <w:szCs w:val="18"/>
        </w:rPr>
        <w:t>Group</w:t>
      </w:r>
      <w:proofErr w:type="spellEnd"/>
    </w:p>
  </w:footnote>
  <w:footnote w:id="2">
    <w:p w:rsidR="00034A60" w:rsidRPr="009D3F4C" w:rsidRDefault="00034A60" w:rsidP="00034A60">
      <w:pPr>
        <w:pStyle w:val="Sprotnaopomba-besedilo"/>
      </w:pPr>
      <w:r w:rsidRPr="006B4DA3">
        <w:rPr>
          <w:rStyle w:val="Sprotnaopomba-sklic"/>
          <w:sz w:val="18"/>
          <w:szCs w:val="18"/>
        </w:rPr>
        <w:footnoteRef/>
      </w:r>
      <w:r w:rsidRPr="006B4DA3">
        <w:rPr>
          <w:sz w:val="18"/>
          <w:szCs w:val="18"/>
        </w:rPr>
        <w:t xml:space="preserve"> Skrbnik sklada, ki določa, kako bo dobiček, ki izhaja iz lastništva delnic, uporabljen, je izvoljen s strani zaposlenih.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5" w:rsidRDefault="00273EB5">
    <w:pPr>
      <w:pStyle w:val="Glava"/>
    </w:pPr>
    <w:r>
      <w:tab/>
    </w:r>
    <w:r>
      <w:t>Ekonomska demokracija, št. 2/2013, str. 2 – 3.</w:t>
    </w:r>
    <w:r>
      <w:tab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484"/>
    <w:multiLevelType w:val="hybridMultilevel"/>
    <w:tmpl w:val="86FC1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DB7"/>
    <w:multiLevelType w:val="hybridMultilevel"/>
    <w:tmpl w:val="96083F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90F31"/>
    <w:multiLevelType w:val="hybridMultilevel"/>
    <w:tmpl w:val="2AA0BC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31EDA"/>
    <w:multiLevelType w:val="hybridMultilevel"/>
    <w:tmpl w:val="393AC8EE"/>
    <w:lvl w:ilvl="0" w:tplc="976EF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E015E"/>
    <w:multiLevelType w:val="hybridMultilevel"/>
    <w:tmpl w:val="EC1227A2"/>
    <w:lvl w:ilvl="0" w:tplc="AB5086B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54395"/>
    <w:multiLevelType w:val="hybridMultilevel"/>
    <w:tmpl w:val="C43E0C14"/>
    <w:lvl w:ilvl="0" w:tplc="AB5086B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A6426C"/>
    <w:multiLevelType w:val="hybridMultilevel"/>
    <w:tmpl w:val="C464DD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B23F6"/>
    <w:multiLevelType w:val="hybridMultilevel"/>
    <w:tmpl w:val="AC3E54A4"/>
    <w:lvl w:ilvl="0" w:tplc="CC706FA8">
      <w:start w:val="1"/>
      <w:numFmt w:val="bullet"/>
      <w:lvlText w:val="-"/>
      <w:lvlJc w:val="left"/>
      <w:pPr>
        <w:tabs>
          <w:tab w:val="num" w:pos="644"/>
        </w:tabs>
        <w:ind w:left="680" w:hanging="3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92504"/>
    <w:multiLevelType w:val="hybridMultilevel"/>
    <w:tmpl w:val="F6801DAC"/>
    <w:lvl w:ilvl="0" w:tplc="976EF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D"/>
    <w:rsid w:val="00003046"/>
    <w:rsid w:val="000227D6"/>
    <w:rsid w:val="00030E41"/>
    <w:rsid w:val="00034A60"/>
    <w:rsid w:val="00056332"/>
    <w:rsid w:val="000611F0"/>
    <w:rsid w:val="0009680D"/>
    <w:rsid w:val="00153392"/>
    <w:rsid w:val="00160704"/>
    <w:rsid w:val="00180B54"/>
    <w:rsid w:val="00193F63"/>
    <w:rsid w:val="001D14B6"/>
    <w:rsid w:val="001D1DAA"/>
    <w:rsid w:val="001D726D"/>
    <w:rsid w:val="00203169"/>
    <w:rsid w:val="00215A48"/>
    <w:rsid w:val="0021655D"/>
    <w:rsid w:val="00216A22"/>
    <w:rsid w:val="00223EDC"/>
    <w:rsid w:val="0024489C"/>
    <w:rsid w:val="0025273E"/>
    <w:rsid w:val="00253BAD"/>
    <w:rsid w:val="00273EB5"/>
    <w:rsid w:val="00274D6D"/>
    <w:rsid w:val="002772FB"/>
    <w:rsid w:val="002960CF"/>
    <w:rsid w:val="002A2493"/>
    <w:rsid w:val="002A6D5C"/>
    <w:rsid w:val="002B6934"/>
    <w:rsid w:val="002C500E"/>
    <w:rsid w:val="002E5B18"/>
    <w:rsid w:val="0030558F"/>
    <w:rsid w:val="003448A5"/>
    <w:rsid w:val="0036080A"/>
    <w:rsid w:val="003839EC"/>
    <w:rsid w:val="0039457F"/>
    <w:rsid w:val="003D2600"/>
    <w:rsid w:val="00403C12"/>
    <w:rsid w:val="0042200C"/>
    <w:rsid w:val="00443C02"/>
    <w:rsid w:val="00495AF3"/>
    <w:rsid w:val="004A7DB7"/>
    <w:rsid w:val="004C46E0"/>
    <w:rsid w:val="004F7965"/>
    <w:rsid w:val="00510CF8"/>
    <w:rsid w:val="005369C5"/>
    <w:rsid w:val="00567428"/>
    <w:rsid w:val="005B5FBD"/>
    <w:rsid w:val="005D4DAC"/>
    <w:rsid w:val="005E5BD5"/>
    <w:rsid w:val="006010A0"/>
    <w:rsid w:val="006145DE"/>
    <w:rsid w:val="0063191A"/>
    <w:rsid w:val="00646714"/>
    <w:rsid w:val="00657ACD"/>
    <w:rsid w:val="006741AB"/>
    <w:rsid w:val="00686475"/>
    <w:rsid w:val="006953AD"/>
    <w:rsid w:val="006A6A40"/>
    <w:rsid w:val="006B4DA3"/>
    <w:rsid w:val="006B52CC"/>
    <w:rsid w:val="006C0166"/>
    <w:rsid w:val="006E043E"/>
    <w:rsid w:val="00717A92"/>
    <w:rsid w:val="00740FA8"/>
    <w:rsid w:val="007578C3"/>
    <w:rsid w:val="00765389"/>
    <w:rsid w:val="0077380C"/>
    <w:rsid w:val="0079111E"/>
    <w:rsid w:val="00797F88"/>
    <w:rsid w:val="007B64EB"/>
    <w:rsid w:val="007C1E90"/>
    <w:rsid w:val="007C3B2B"/>
    <w:rsid w:val="007C45E9"/>
    <w:rsid w:val="007F0A2C"/>
    <w:rsid w:val="008372BD"/>
    <w:rsid w:val="00841D6B"/>
    <w:rsid w:val="00862033"/>
    <w:rsid w:val="00895567"/>
    <w:rsid w:val="008A6AE1"/>
    <w:rsid w:val="008C5BE1"/>
    <w:rsid w:val="008E3F27"/>
    <w:rsid w:val="00914723"/>
    <w:rsid w:val="00923ECB"/>
    <w:rsid w:val="0092453F"/>
    <w:rsid w:val="009254E3"/>
    <w:rsid w:val="00947EE1"/>
    <w:rsid w:val="00985E07"/>
    <w:rsid w:val="0099526E"/>
    <w:rsid w:val="00997A23"/>
    <w:rsid w:val="009D003B"/>
    <w:rsid w:val="009D3F4C"/>
    <w:rsid w:val="00A47BC5"/>
    <w:rsid w:val="00A64477"/>
    <w:rsid w:val="00A65637"/>
    <w:rsid w:val="00A752D7"/>
    <w:rsid w:val="00A86AF0"/>
    <w:rsid w:val="00AB7B7E"/>
    <w:rsid w:val="00AF0D78"/>
    <w:rsid w:val="00B62535"/>
    <w:rsid w:val="00B626ED"/>
    <w:rsid w:val="00B712DC"/>
    <w:rsid w:val="00BA51C7"/>
    <w:rsid w:val="00C019C8"/>
    <w:rsid w:val="00C342E7"/>
    <w:rsid w:val="00C85337"/>
    <w:rsid w:val="00C95CD2"/>
    <w:rsid w:val="00CB15B5"/>
    <w:rsid w:val="00D16CD8"/>
    <w:rsid w:val="00D2622E"/>
    <w:rsid w:val="00D340B3"/>
    <w:rsid w:val="00DF2741"/>
    <w:rsid w:val="00E10B0A"/>
    <w:rsid w:val="00E45713"/>
    <w:rsid w:val="00E51311"/>
    <w:rsid w:val="00E8367D"/>
    <w:rsid w:val="00E91016"/>
    <w:rsid w:val="00EA67B0"/>
    <w:rsid w:val="00EB2F1D"/>
    <w:rsid w:val="00EE149D"/>
    <w:rsid w:val="00EF03BF"/>
    <w:rsid w:val="00F57161"/>
    <w:rsid w:val="00F96D35"/>
    <w:rsid w:val="00FA144C"/>
    <w:rsid w:val="00FD12B6"/>
    <w:rsid w:val="00FD14E8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86AF0"/>
    <w:rPr>
      <w:color w:val="0000FF"/>
      <w:u w:val="single"/>
    </w:rPr>
  </w:style>
  <w:style w:type="character" w:customStyle="1" w:styleId="hps">
    <w:name w:val="hps"/>
    <w:basedOn w:val="Privzetapisavaodstavka"/>
    <w:rsid w:val="006010A0"/>
  </w:style>
  <w:style w:type="character" w:customStyle="1" w:styleId="apple-converted-space">
    <w:name w:val="apple-converted-space"/>
    <w:basedOn w:val="Privzetapisavaodstavka"/>
    <w:rsid w:val="006010A0"/>
  </w:style>
  <w:style w:type="table" w:styleId="Tabelamrea">
    <w:name w:val="Table Grid"/>
    <w:basedOn w:val="Navadnatabela"/>
    <w:rsid w:val="008372B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A65637"/>
    <w:rPr>
      <w:sz w:val="20"/>
    </w:rPr>
  </w:style>
  <w:style w:type="character" w:styleId="Sprotnaopomba-sklic">
    <w:name w:val="footnote reference"/>
    <w:basedOn w:val="Privzetapisavaodstavka"/>
    <w:semiHidden/>
    <w:rsid w:val="00A6563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85E0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273E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73EB5"/>
    <w:rPr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273E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EB5"/>
    <w:rPr>
      <w:color w:val="00000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3E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3E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86AF0"/>
    <w:rPr>
      <w:color w:val="0000FF"/>
      <w:u w:val="single"/>
    </w:rPr>
  </w:style>
  <w:style w:type="character" w:customStyle="1" w:styleId="hps">
    <w:name w:val="hps"/>
    <w:basedOn w:val="Privzetapisavaodstavka"/>
    <w:rsid w:val="006010A0"/>
  </w:style>
  <w:style w:type="character" w:customStyle="1" w:styleId="apple-converted-space">
    <w:name w:val="apple-converted-space"/>
    <w:basedOn w:val="Privzetapisavaodstavka"/>
    <w:rsid w:val="006010A0"/>
  </w:style>
  <w:style w:type="table" w:styleId="Tabelamrea">
    <w:name w:val="Table Grid"/>
    <w:basedOn w:val="Navadnatabela"/>
    <w:rsid w:val="008372B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A65637"/>
    <w:rPr>
      <w:sz w:val="20"/>
    </w:rPr>
  </w:style>
  <w:style w:type="character" w:styleId="Sprotnaopomba-sklic">
    <w:name w:val="footnote reference"/>
    <w:basedOn w:val="Privzetapisavaodstavka"/>
    <w:semiHidden/>
    <w:rsid w:val="00A6563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85E0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273E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73EB5"/>
    <w:rPr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273E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EB5"/>
    <w:rPr>
      <w:color w:val="00000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3E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3E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394">
                  <w:marLeft w:val="0"/>
                  <w:marRight w:val="0"/>
                  <w:marTop w:val="0"/>
                  <w:marBottom w:val="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527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67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4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5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3" w:color="CCCCCC"/>
                            <w:bottom w:val="single" w:sz="4" w:space="0" w:color="CCCCCC"/>
                            <w:right w:val="single" w:sz="4" w:space="3" w:color="CCCCCC"/>
                          </w:divBdr>
                          <w:divsChild>
                            <w:div w:id="7700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8438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1624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gov.uk/assets/BISCore/business-law/docs/S/12-933-sharing-success-nuttall-review-employee-ownershi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2424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The Nuttall review of Employee  Ownership</vt:lpstr>
    </vt:vector>
  </TitlesOfParts>
  <Company>Ministrstvo za pravosodje</Company>
  <LinksUpToDate>false</LinksUpToDate>
  <CharactersWithSpaces>17519</CharactersWithSpaces>
  <SharedDoc>false</SharedDoc>
  <HLinks>
    <vt:vector size="6" baseType="variant"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http://www.bis.gov.uk/assets/BISCore/business-law/docs/S/12-933-sharing-success-nuttall-review-employee-ownership.pdf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Nuttall review of Employee  Ownership</dc:title>
  <dc:creator>LDrofeni</dc:creator>
  <cp:lastModifiedBy>Mato</cp:lastModifiedBy>
  <cp:revision>14</cp:revision>
  <cp:lastPrinted>2013-04-09T13:16:00Z</cp:lastPrinted>
  <dcterms:created xsi:type="dcterms:W3CDTF">2013-04-10T08:32:00Z</dcterms:created>
  <dcterms:modified xsi:type="dcterms:W3CDTF">2013-07-30T14:26:00Z</dcterms:modified>
</cp:coreProperties>
</file>